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2E1B" w14:textId="77777777" w:rsidR="007C617C" w:rsidRDefault="007C617C" w:rsidP="000F6A8F">
      <w:pPr>
        <w:pStyle w:val="Header"/>
        <w:pBdr>
          <w:top w:val="single" w:sz="12" w:space="1" w:color="auto" w:shadow="1"/>
          <w:left w:val="single" w:sz="12" w:space="0" w:color="auto" w:shadow="1"/>
          <w:bottom w:val="single" w:sz="12" w:space="1" w:color="auto" w:shadow="1"/>
          <w:right w:val="single" w:sz="12" w:space="1" w:color="auto" w:shadow="1"/>
        </w:pBdr>
        <w:ind w:right="36"/>
        <w:jc w:val="center"/>
        <w:rPr>
          <w:b/>
          <w:i/>
          <w:sz w:val="36"/>
        </w:rPr>
      </w:pPr>
      <w:r>
        <w:rPr>
          <w:b/>
          <w:i/>
          <w:sz w:val="36"/>
        </w:rPr>
        <w:t>Department of Accounts</w:t>
      </w:r>
    </w:p>
    <w:p w14:paraId="7F36A53C" w14:textId="77777777" w:rsidR="007C617C" w:rsidRDefault="007C617C" w:rsidP="000F6A8F">
      <w:pPr>
        <w:pStyle w:val="Header"/>
        <w:pBdr>
          <w:top w:val="single" w:sz="12" w:space="1" w:color="auto" w:shadow="1"/>
          <w:left w:val="single" w:sz="12" w:space="0" w:color="auto" w:shadow="1"/>
          <w:bottom w:val="single" w:sz="12" w:space="1" w:color="auto" w:shadow="1"/>
          <w:right w:val="single" w:sz="12" w:space="1" w:color="auto" w:shadow="1"/>
        </w:pBdr>
        <w:ind w:right="36"/>
        <w:jc w:val="center"/>
        <w:rPr>
          <w:b/>
          <w:i/>
          <w:sz w:val="36"/>
        </w:rPr>
      </w:pPr>
      <w:r>
        <w:rPr>
          <w:b/>
          <w:i/>
          <w:sz w:val="36"/>
        </w:rPr>
        <w:t>Payroll Bulletin</w:t>
      </w:r>
    </w:p>
    <w:p w14:paraId="6E6DF06C" w14:textId="77777777" w:rsidR="007C617C" w:rsidRDefault="007C617C">
      <w:pPr>
        <w:pStyle w:val="Header"/>
        <w:jc w:val="center"/>
        <w:rPr>
          <w:sz w:val="16"/>
        </w:rPr>
      </w:pPr>
    </w:p>
    <w:tbl>
      <w:tblPr>
        <w:tblW w:w="0" w:type="auto"/>
        <w:tblInd w:w="108" w:type="dxa"/>
        <w:tblLayout w:type="fixed"/>
        <w:tblLook w:val="0000" w:firstRow="0" w:lastRow="0" w:firstColumn="0" w:lastColumn="0" w:noHBand="0" w:noVBand="0"/>
      </w:tblPr>
      <w:tblGrid>
        <w:gridCol w:w="3510"/>
        <w:gridCol w:w="3690"/>
        <w:gridCol w:w="3600"/>
      </w:tblGrid>
      <w:tr w:rsidR="007C617C" w14:paraId="560C7401" w14:textId="77777777" w:rsidTr="00D45FD9">
        <w:trPr>
          <w:cantSplit/>
        </w:trPr>
        <w:tc>
          <w:tcPr>
            <w:tcW w:w="3510" w:type="dxa"/>
            <w:tcBorders>
              <w:bottom w:val="double" w:sz="6" w:space="0" w:color="auto"/>
            </w:tcBorders>
          </w:tcPr>
          <w:p w14:paraId="0AAD425E" w14:textId="4ACAB41A" w:rsidR="007C617C" w:rsidRDefault="007C617C" w:rsidP="00CF0F7F">
            <w:pPr>
              <w:pStyle w:val="Header"/>
              <w:rPr>
                <w:b/>
                <w:sz w:val="20"/>
              </w:rPr>
            </w:pPr>
            <w:r>
              <w:rPr>
                <w:b/>
                <w:sz w:val="20"/>
              </w:rPr>
              <w:t xml:space="preserve">Calendar Year </w:t>
            </w:r>
            <w:r w:rsidR="003F1980">
              <w:rPr>
                <w:b/>
                <w:sz w:val="20"/>
              </w:rPr>
              <w:t>202</w:t>
            </w:r>
            <w:r w:rsidR="00931BD7">
              <w:rPr>
                <w:b/>
                <w:sz w:val="20"/>
              </w:rPr>
              <w:t>4</w:t>
            </w:r>
          </w:p>
        </w:tc>
        <w:tc>
          <w:tcPr>
            <w:tcW w:w="3690" w:type="dxa"/>
            <w:tcBorders>
              <w:bottom w:val="double" w:sz="6" w:space="0" w:color="auto"/>
            </w:tcBorders>
          </w:tcPr>
          <w:p w14:paraId="33D7CF9D" w14:textId="4C317683" w:rsidR="007C617C" w:rsidRDefault="0014590C" w:rsidP="00D32DFB">
            <w:pPr>
              <w:pStyle w:val="Header"/>
              <w:jc w:val="center"/>
              <w:rPr>
                <w:b/>
                <w:sz w:val="20"/>
              </w:rPr>
            </w:pPr>
            <w:r>
              <w:rPr>
                <w:b/>
                <w:sz w:val="20"/>
              </w:rPr>
              <w:t xml:space="preserve">November </w:t>
            </w:r>
            <w:r w:rsidR="004E341F">
              <w:rPr>
                <w:b/>
                <w:sz w:val="20"/>
              </w:rPr>
              <w:t>20,</w:t>
            </w:r>
            <w:r w:rsidR="008411C2">
              <w:rPr>
                <w:b/>
                <w:sz w:val="20"/>
              </w:rPr>
              <w:t xml:space="preserve"> </w:t>
            </w:r>
            <w:r w:rsidR="003F1980">
              <w:rPr>
                <w:b/>
                <w:sz w:val="20"/>
              </w:rPr>
              <w:t>202</w:t>
            </w:r>
            <w:r w:rsidR="00931BD7">
              <w:rPr>
                <w:b/>
                <w:sz w:val="20"/>
              </w:rPr>
              <w:t>4</w:t>
            </w:r>
          </w:p>
        </w:tc>
        <w:tc>
          <w:tcPr>
            <w:tcW w:w="3600" w:type="dxa"/>
            <w:tcBorders>
              <w:bottom w:val="double" w:sz="6" w:space="0" w:color="auto"/>
            </w:tcBorders>
          </w:tcPr>
          <w:p w14:paraId="79448E1A" w14:textId="2143E1CB" w:rsidR="007C617C" w:rsidRDefault="007C617C" w:rsidP="00383489">
            <w:pPr>
              <w:pStyle w:val="Header"/>
              <w:jc w:val="right"/>
              <w:rPr>
                <w:b/>
                <w:sz w:val="20"/>
              </w:rPr>
            </w:pPr>
            <w:r>
              <w:rPr>
                <w:b/>
                <w:sz w:val="20"/>
              </w:rPr>
              <w:t xml:space="preserve">Volume </w:t>
            </w:r>
            <w:r w:rsidR="00AC799B">
              <w:rPr>
                <w:b/>
                <w:sz w:val="20"/>
              </w:rPr>
              <w:t>#</w:t>
            </w:r>
            <w:r w:rsidR="003F1980">
              <w:rPr>
                <w:b/>
                <w:sz w:val="20"/>
              </w:rPr>
              <w:t>202</w:t>
            </w:r>
            <w:r w:rsidR="00931BD7">
              <w:rPr>
                <w:b/>
                <w:sz w:val="20"/>
              </w:rPr>
              <w:t>4</w:t>
            </w:r>
            <w:r w:rsidR="000F3E48">
              <w:rPr>
                <w:b/>
                <w:sz w:val="20"/>
              </w:rPr>
              <w:t>-</w:t>
            </w:r>
            <w:r w:rsidR="00AC799B">
              <w:rPr>
                <w:b/>
                <w:sz w:val="20"/>
              </w:rPr>
              <w:t>1</w:t>
            </w:r>
            <w:r w:rsidR="003D0089">
              <w:rPr>
                <w:b/>
                <w:sz w:val="20"/>
              </w:rPr>
              <w:t>3</w:t>
            </w:r>
          </w:p>
        </w:tc>
      </w:tr>
    </w:tbl>
    <w:p w14:paraId="36CB2E3E" w14:textId="77777777" w:rsidR="00ED0B4A" w:rsidRPr="00D467F1" w:rsidRDefault="00ED0B4A" w:rsidP="00ED0B4A">
      <w:pPr>
        <w:rPr>
          <w:sz w:val="16"/>
          <w:szCs w:val="16"/>
        </w:rPr>
      </w:pPr>
    </w:p>
    <w:tbl>
      <w:tblPr>
        <w:tblW w:w="0" w:type="auto"/>
        <w:jc w:val="center"/>
        <w:tblLook w:val="01E0" w:firstRow="1" w:lastRow="1" w:firstColumn="1" w:lastColumn="1" w:noHBand="0" w:noVBand="0"/>
      </w:tblPr>
      <w:tblGrid>
        <w:gridCol w:w="2447"/>
        <w:gridCol w:w="4112"/>
        <w:gridCol w:w="4200"/>
      </w:tblGrid>
      <w:tr w:rsidR="002775F4" w14:paraId="5C5F6744" w14:textId="77777777" w:rsidTr="00D45FD9">
        <w:trPr>
          <w:jc w:val="center"/>
        </w:trPr>
        <w:tc>
          <w:tcPr>
            <w:tcW w:w="2447" w:type="dxa"/>
          </w:tcPr>
          <w:p w14:paraId="2BB9DF3C" w14:textId="77777777" w:rsidR="002775F4" w:rsidRPr="00574373" w:rsidRDefault="002775F4" w:rsidP="00574373">
            <w:pPr>
              <w:tabs>
                <w:tab w:val="left" w:pos="990"/>
              </w:tabs>
              <w:spacing w:before="120"/>
              <w:rPr>
                <w:i/>
                <w:sz w:val="32"/>
                <w:szCs w:val="32"/>
              </w:rPr>
            </w:pPr>
            <w:r w:rsidRPr="00574373">
              <w:rPr>
                <w:i/>
                <w:sz w:val="32"/>
                <w:szCs w:val="32"/>
              </w:rPr>
              <w:t>In This Issue of the Payroll Bulletin…....</w:t>
            </w:r>
          </w:p>
          <w:p w14:paraId="14B5CB0E" w14:textId="77777777" w:rsidR="002775F4" w:rsidRPr="00574373" w:rsidRDefault="002775F4" w:rsidP="00574373">
            <w:pPr>
              <w:spacing w:before="120"/>
              <w:rPr>
                <w:b/>
              </w:rPr>
            </w:pPr>
          </w:p>
        </w:tc>
        <w:tc>
          <w:tcPr>
            <w:tcW w:w="4112" w:type="dxa"/>
          </w:tcPr>
          <w:p w14:paraId="399333A4" w14:textId="77777777" w:rsidR="00911DAC" w:rsidRDefault="005623DA" w:rsidP="00613AE7">
            <w:pPr>
              <w:numPr>
                <w:ilvl w:val="0"/>
                <w:numId w:val="1"/>
              </w:numPr>
              <w:tabs>
                <w:tab w:val="left" w:pos="990"/>
              </w:tabs>
              <w:spacing w:before="60"/>
              <w:ind w:left="547"/>
              <w:rPr>
                <w:b/>
                <w:sz w:val="20"/>
              </w:rPr>
            </w:pPr>
            <w:r>
              <w:rPr>
                <w:b/>
                <w:sz w:val="20"/>
              </w:rPr>
              <w:t>Miscellaneous Insurances and Annuities</w:t>
            </w:r>
          </w:p>
          <w:p w14:paraId="75A80618" w14:textId="77777777" w:rsidR="00015008" w:rsidRDefault="00015008" w:rsidP="00613AE7">
            <w:pPr>
              <w:numPr>
                <w:ilvl w:val="0"/>
                <w:numId w:val="1"/>
              </w:numPr>
              <w:tabs>
                <w:tab w:val="left" w:pos="990"/>
              </w:tabs>
              <w:spacing w:before="60"/>
              <w:ind w:left="547"/>
              <w:rPr>
                <w:b/>
                <w:sz w:val="20"/>
              </w:rPr>
            </w:pPr>
            <w:r>
              <w:rPr>
                <w:b/>
                <w:sz w:val="20"/>
              </w:rPr>
              <w:t>Cardinal HCM Updates</w:t>
            </w:r>
          </w:p>
          <w:p w14:paraId="7AE1AE9B" w14:textId="18FC7D67" w:rsidR="00015008" w:rsidRPr="00613AE7" w:rsidRDefault="00015008" w:rsidP="00613AE7">
            <w:pPr>
              <w:numPr>
                <w:ilvl w:val="0"/>
                <w:numId w:val="1"/>
              </w:numPr>
              <w:tabs>
                <w:tab w:val="left" w:pos="990"/>
              </w:tabs>
              <w:spacing w:before="60"/>
              <w:ind w:left="547"/>
              <w:rPr>
                <w:b/>
                <w:sz w:val="20"/>
              </w:rPr>
            </w:pPr>
            <w:r>
              <w:rPr>
                <w:b/>
                <w:sz w:val="20"/>
              </w:rPr>
              <w:t>COV 457 Automatic Enrollment</w:t>
            </w:r>
          </w:p>
        </w:tc>
        <w:tc>
          <w:tcPr>
            <w:tcW w:w="4200" w:type="dxa"/>
          </w:tcPr>
          <w:p w14:paraId="3EF46605" w14:textId="3C5F69EF" w:rsidR="002775F4" w:rsidRPr="00574373" w:rsidRDefault="002775F4" w:rsidP="00574373">
            <w:pPr>
              <w:tabs>
                <w:tab w:val="left" w:pos="990"/>
              </w:tabs>
              <w:spacing w:before="120"/>
              <w:rPr>
                <w:sz w:val="20"/>
              </w:rPr>
            </w:pPr>
            <w:r w:rsidRPr="00574373">
              <w:rPr>
                <w:sz w:val="20"/>
              </w:rPr>
              <w:t xml:space="preserve">The Payroll Bulletin is published periodically to provide </w:t>
            </w:r>
            <w:r w:rsidR="00B51479">
              <w:rPr>
                <w:sz w:val="20"/>
              </w:rPr>
              <w:t>HCM</w:t>
            </w:r>
            <w:r w:rsidRPr="00574373">
              <w:rPr>
                <w:sz w:val="20"/>
              </w:rPr>
              <w:t xml:space="preserve"> agencies guidance regarding Commonwealth payroll operations.  If you have any questions ab</w:t>
            </w:r>
            <w:r w:rsidR="00022E7D">
              <w:rPr>
                <w:sz w:val="20"/>
              </w:rPr>
              <w:t>out the bulletin, please e</w:t>
            </w:r>
            <w:r w:rsidRPr="00574373">
              <w:rPr>
                <w:sz w:val="20"/>
              </w:rPr>
              <w:t xml:space="preserve">mail </w:t>
            </w:r>
            <w:r w:rsidR="00395AFF">
              <w:rPr>
                <w:sz w:val="20"/>
              </w:rPr>
              <w:t>payroll@doa.virginia.gov.</w:t>
            </w:r>
          </w:p>
          <w:p w14:paraId="40FAB571" w14:textId="77777777" w:rsidR="002775F4" w:rsidRPr="00574373" w:rsidRDefault="002775F4" w:rsidP="00574373">
            <w:pPr>
              <w:tabs>
                <w:tab w:val="left" w:pos="990"/>
              </w:tabs>
              <w:spacing w:before="120"/>
              <w:jc w:val="both"/>
              <w:rPr>
                <w:sz w:val="20"/>
                <w:u w:val="single"/>
              </w:rPr>
            </w:pPr>
            <w:r w:rsidRPr="00574373">
              <w:rPr>
                <w:sz w:val="20"/>
                <w:u w:val="single"/>
              </w:rPr>
              <w:t>State Payroll Operations</w:t>
            </w:r>
          </w:p>
          <w:p w14:paraId="6D0F91E8" w14:textId="77777777" w:rsidR="002775F4" w:rsidRPr="00574373" w:rsidRDefault="002775F4" w:rsidP="00574373">
            <w:pPr>
              <w:tabs>
                <w:tab w:val="left" w:pos="990"/>
              </w:tabs>
              <w:spacing w:before="120"/>
              <w:rPr>
                <w:sz w:val="20"/>
              </w:rPr>
            </w:pPr>
            <w:r w:rsidRPr="00574373">
              <w:rPr>
                <w:b/>
                <w:sz w:val="20"/>
              </w:rPr>
              <w:t xml:space="preserve">Director                        </w:t>
            </w:r>
            <w:r w:rsidR="00046B8C">
              <w:rPr>
                <w:b/>
                <w:sz w:val="20"/>
              </w:rPr>
              <w:t xml:space="preserve">      </w:t>
            </w:r>
            <w:r w:rsidRPr="00574373">
              <w:rPr>
                <w:b/>
                <w:sz w:val="20"/>
              </w:rPr>
              <w:t xml:space="preserve"> </w:t>
            </w:r>
            <w:r w:rsidR="00485721">
              <w:rPr>
                <w:b/>
                <w:sz w:val="20"/>
              </w:rPr>
              <w:t>Cathy C McGill</w:t>
            </w:r>
          </w:p>
          <w:p w14:paraId="095D53AA" w14:textId="77777777" w:rsidR="002775F4" w:rsidRPr="00574373" w:rsidRDefault="001B0195" w:rsidP="00485721">
            <w:pPr>
              <w:tabs>
                <w:tab w:val="left" w:pos="990"/>
              </w:tabs>
              <w:spacing w:before="120"/>
              <w:rPr>
                <w:szCs w:val="24"/>
              </w:rPr>
            </w:pPr>
            <w:r>
              <w:rPr>
                <w:sz w:val="20"/>
              </w:rPr>
              <w:t>Assistant</w:t>
            </w:r>
            <w:r w:rsidR="00824D78">
              <w:rPr>
                <w:sz w:val="20"/>
              </w:rPr>
              <w:t xml:space="preserve"> </w:t>
            </w:r>
            <w:r w:rsidR="002775F4" w:rsidRPr="00574373">
              <w:rPr>
                <w:sz w:val="20"/>
              </w:rPr>
              <w:t xml:space="preserve">Director         </w:t>
            </w:r>
            <w:r w:rsidR="00C51EFD">
              <w:rPr>
                <w:sz w:val="20"/>
              </w:rPr>
              <w:t xml:space="preserve">    </w:t>
            </w:r>
            <w:r w:rsidR="002775F4" w:rsidRPr="00574373">
              <w:rPr>
                <w:sz w:val="20"/>
              </w:rPr>
              <w:t xml:space="preserve"> </w:t>
            </w:r>
            <w:r w:rsidR="00046B8C">
              <w:rPr>
                <w:sz w:val="20"/>
              </w:rPr>
              <w:t xml:space="preserve"> </w:t>
            </w:r>
            <w:r w:rsidR="00485721">
              <w:rPr>
                <w:sz w:val="20"/>
              </w:rPr>
              <w:t>Carmelita Holmes</w:t>
            </w:r>
          </w:p>
        </w:tc>
      </w:tr>
    </w:tbl>
    <w:p w14:paraId="5309729E" w14:textId="77777777" w:rsidR="002F6F61" w:rsidRPr="00D467F1" w:rsidRDefault="002F6F61" w:rsidP="002F6F61">
      <w:pPr>
        <w:pStyle w:val="BlockLine"/>
        <w:ind w:left="1620"/>
        <w:rPr>
          <w:sz w:val="16"/>
          <w:szCs w:val="16"/>
        </w:rPr>
      </w:pPr>
    </w:p>
    <w:p w14:paraId="35E2E700" w14:textId="2DD38E3F" w:rsidR="00AC799B" w:rsidRPr="00AC799B" w:rsidRDefault="005623DA" w:rsidP="00AC799B">
      <w:pPr>
        <w:rPr>
          <w:b/>
          <w:szCs w:val="24"/>
        </w:rPr>
      </w:pPr>
      <w:bookmarkStart w:id="0" w:name="_Hlk174944596"/>
      <w:r>
        <w:rPr>
          <w:b/>
          <w:szCs w:val="24"/>
        </w:rPr>
        <w:t xml:space="preserve">Miscellaneous Insurances and Annuities </w:t>
      </w:r>
    </w:p>
    <w:p w14:paraId="2EE6EE41" w14:textId="77777777" w:rsidR="00B327BA" w:rsidRDefault="00B327BA" w:rsidP="00AC799B">
      <w:pPr>
        <w:pBdr>
          <w:top w:val="single" w:sz="6" w:space="1" w:color="auto"/>
          <w:between w:val="single" w:sz="6" w:space="1" w:color="auto"/>
        </w:pBdr>
        <w:spacing w:before="240"/>
        <w:ind w:left="1700"/>
        <w:rPr>
          <w:b/>
          <w:sz w:val="16"/>
          <w:szCs w:val="16"/>
        </w:rPr>
      </w:pPr>
    </w:p>
    <w:tbl>
      <w:tblPr>
        <w:tblW w:w="10893" w:type="dxa"/>
        <w:tblInd w:w="-3" w:type="dxa"/>
        <w:tblCellMar>
          <w:left w:w="0" w:type="dxa"/>
          <w:right w:w="0" w:type="dxa"/>
        </w:tblCellMar>
        <w:tblLook w:val="04A0" w:firstRow="1" w:lastRow="0" w:firstColumn="1" w:lastColumn="0" w:noHBand="0" w:noVBand="1"/>
      </w:tblPr>
      <w:tblGrid>
        <w:gridCol w:w="1728"/>
        <w:gridCol w:w="9165"/>
      </w:tblGrid>
      <w:tr w:rsidR="00B327BA" w:rsidRPr="00AC799B" w14:paraId="7EA1B775" w14:textId="77777777" w:rsidTr="00C93A22">
        <w:trPr>
          <w:cantSplit/>
        </w:trPr>
        <w:tc>
          <w:tcPr>
            <w:tcW w:w="1728" w:type="dxa"/>
            <w:tcMar>
              <w:top w:w="0" w:type="dxa"/>
              <w:left w:w="108" w:type="dxa"/>
              <w:bottom w:w="0" w:type="dxa"/>
              <w:right w:w="108" w:type="dxa"/>
            </w:tcMar>
          </w:tcPr>
          <w:p w14:paraId="1904A864" w14:textId="4E1A30DA" w:rsidR="00B327BA" w:rsidRPr="00AC799B" w:rsidRDefault="00842FCC" w:rsidP="00C93A22">
            <w:pPr>
              <w:spacing w:line="252" w:lineRule="auto"/>
              <w:outlineLvl w:val="4"/>
              <w:rPr>
                <w:b/>
                <w:bCs/>
                <w:sz w:val="22"/>
                <w:szCs w:val="22"/>
              </w:rPr>
            </w:pPr>
            <w:r>
              <w:rPr>
                <w:b/>
                <w:bCs/>
                <w:sz w:val="22"/>
                <w:szCs w:val="22"/>
              </w:rPr>
              <w:t>TPA Supplemental Insurance and Annuities Program</w:t>
            </w:r>
          </w:p>
        </w:tc>
        <w:tc>
          <w:tcPr>
            <w:tcW w:w="9165" w:type="dxa"/>
            <w:tcMar>
              <w:top w:w="0" w:type="dxa"/>
              <w:left w:w="108" w:type="dxa"/>
              <w:bottom w:w="0" w:type="dxa"/>
              <w:right w:w="108" w:type="dxa"/>
            </w:tcMar>
          </w:tcPr>
          <w:p w14:paraId="56EA336D" w14:textId="77777777" w:rsidR="00D644E2" w:rsidRDefault="00C7540A" w:rsidP="00C9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sidRPr="00C7540A">
              <w:rPr>
                <w:rFonts w:eastAsia="Aptos"/>
                <w:sz w:val="20"/>
                <w14:ligatures w14:val="standardContextual"/>
              </w:rPr>
              <w:t>The TPA Supplemental Insurance and Annuities program benefits employees by providing payroll deduction services for commercially available products offered by a network of independent providers.</w:t>
            </w:r>
            <w:r w:rsidR="006831B7">
              <w:rPr>
                <w:rFonts w:eastAsia="Aptos"/>
                <w:sz w:val="20"/>
                <w14:ligatures w14:val="standardContextual"/>
              </w:rPr>
              <w:t xml:space="preserve"> </w:t>
            </w:r>
            <w:r w:rsidRPr="00C7540A">
              <w:rPr>
                <w:rFonts w:eastAsia="Aptos"/>
                <w:sz w:val="20"/>
                <w14:ligatures w14:val="standardContextual"/>
              </w:rPr>
              <w:t xml:space="preserve"> </w:t>
            </w:r>
            <w:r w:rsidR="00D644E2" w:rsidRPr="00D644E2">
              <w:rPr>
                <w:rFonts w:eastAsia="Aptos"/>
                <w:sz w:val="20"/>
                <w14:ligatures w14:val="standardContextual"/>
              </w:rPr>
              <w:t xml:space="preserve">Two types of products are offered: </w:t>
            </w:r>
          </w:p>
          <w:p w14:paraId="21D0ED59" w14:textId="0E4B7DCC" w:rsidR="00D644E2" w:rsidRDefault="00D644E2" w:rsidP="00D6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601"/>
              <w:contextualSpacing/>
              <w:rPr>
                <w:rFonts w:eastAsia="Aptos"/>
                <w:sz w:val="20"/>
                <w14:ligatures w14:val="standardContextual"/>
              </w:rPr>
            </w:pPr>
            <w:r w:rsidRPr="00D644E2">
              <w:rPr>
                <w:rFonts w:eastAsia="Aptos"/>
                <w:sz w:val="20"/>
                <w14:ligatures w14:val="standardContextual"/>
              </w:rPr>
              <w:sym w:font="Symbol" w:char="F0B7"/>
            </w:r>
            <w:r w:rsidRPr="00D644E2">
              <w:rPr>
                <w:rFonts w:eastAsia="Aptos"/>
                <w:sz w:val="20"/>
                <w14:ligatures w14:val="standardContextual"/>
              </w:rPr>
              <w:t xml:space="preserve"> Insurance (</w:t>
            </w:r>
            <w:r>
              <w:rPr>
                <w:rFonts w:eastAsia="Aptos"/>
                <w:sz w:val="20"/>
                <w14:ligatures w14:val="standardContextual"/>
              </w:rPr>
              <w:t>PSTTAX</w:t>
            </w:r>
            <w:r w:rsidRPr="00D644E2">
              <w:rPr>
                <w:rFonts w:eastAsia="Aptos"/>
                <w:sz w:val="20"/>
                <w14:ligatures w14:val="standardContextual"/>
              </w:rPr>
              <w:t xml:space="preserve">) </w:t>
            </w:r>
          </w:p>
          <w:p w14:paraId="691339E6" w14:textId="0E97BC91" w:rsidR="00D644E2" w:rsidRDefault="00D644E2" w:rsidP="00D6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601"/>
              <w:contextualSpacing/>
              <w:rPr>
                <w:rFonts w:eastAsia="Aptos"/>
                <w:sz w:val="20"/>
                <w14:ligatures w14:val="standardContextual"/>
              </w:rPr>
            </w:pPr>
            <w:r w:rsidRPr="00D644E2">
              <w:rPr>
                <w:rFonts w:eastAsia="Aptos"/>
                <w:sz w:val="20"/>
                <w14:ligatures w14:val="standardContextual"/>
              </w:rPr>
              <w:sym w:font="Symbol" w:char="F0B7"/>
            </w:r>
            <w:r w:rsidRPr="00D644E2">
              <w:rPr>
                <w:rFonts w:eastAsia="Aptos"/>
                <w:sz w:val="20"/>
                <w14:ligatures w14:val="standardContextual"/>
              </w:rPr>
              <w:t xml:space="preserve"> Tax Sheltered Annuities/TSA (403(b) pre-tax) </w:t>
            </w:r>
            <w:r>
              <w:rPr>
                <w:rFonts w:eastAsia="Aptos"/>
                <w:sz w:val="20"/>
                <w14:ligatures w14:val="standardContextual"/>
              </w:rPr>
              <w:t>(ANNUITY)</w:t>
            </w:r>
          </w:p>
          <w:p w14:paraId="3C2583D8" w14:textId="77777777" w:rsidR="00D644E2" w:rsidRDefault="00D644E2" w:rsidP="00C9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p>
          <w:p w14:paraId="1862851E" w14:textId="77777777" w:rsidR="00633DE7" w:rsidRDefault="00C7540A"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sidRPr="00C7540A">
              <w:rPr>
                <w:rFonts w:eastAsia="Aptos"/>
                <w:sz w:val="20"/>
                <w14:ligatures w14:val="standardContextual"/>
              </w:rPr>
              <w:t xml:space="preserve">Each pay period, an automated file for updating Cardinal HCM is received </w:t>
            </w:r>
            <w:r w:rsidR="006831B7">
              <w:rPr>
                <w:rFonts w:eastAsia="Aptos"/>
                <w:sz w:val="20"/>
                <w14:ligatures w14:val="standardContextual"/>
              </w:rPr>
              <w:t xml:space="preserve">approximately four or five </w:t>
            </w:r>
            <w:r w:rsidRPr="00C7540A">
              <w:rPr>
                <w:rFonts w:eastAsia="Aptos"/>
                <w:sz w:val="20"/>
                <w14:ligatures w14:val="standardContextual"/>
              </w:rPr>
              <w:t>workdays before final confirmation. The TPA schedule can be viewed on DOA’s website. At the same time, change and enrollment reports are available to Benefit Administrators on the TPA’s website.</w:t>
            </w:r>
          </w:p>
          <w:p w14:paraId="197A3540" w14:textId="77777777" w:rsidR="00B33673" w:rsidRDefault="00B33673"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p>
          <w:p w14:paraId="62BCC36A" w14:textId="0435E04D" w:rsidR="00B33673" w:rsidRPr="00AC799B" w:rsidRDefault="00B33673"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Pr>
                <w:rFonts w:eastAsia="Aptos"/>
                <w:sz w:val="20"/>
                <w14:ligatures w14:val="standardContextual"/>
              </w:rPr>
              <w:t xml:space="preserve">Refer to CAPP Topic 50465, General Deductions, and </w:t>
            </w:r>
            <w:r w:rsidRPr="00B33673">
              <w:rPr>
                <w:rFonts w:eastAsia="Aptos"/>
                <w:sz w:val="20"/>
                <w14:ligatures w14:val="standardContextual"/>
              </w:rPr>
              <w:t>CAPP Topic 50425, Retirement,</w:t>
            </w:r>
            <w:r>
              <w:rPr>
                <w:rFonts w:eastAsia="Aptos"/>
                <w:sz w:val="20"/>
                <w14:ligatures w14:val="standardContextual"/>
              </w:rPr>
              <w:t xml:space="preserve"> for more information.</w:t>
            </w:r>
          </w:p>
        </w:tc>
      </w:tr>
    </w:tbl>
    <w:p w14:paraId="74FE901D" w14:textId="77777777" w:rsidR="00B327BA" w:rsidRDefault="00B327BA" w:rsidP="00AC799B">
      <w:pPr>
        <w:pBdr>
          <w:top w:val="single" w:sz="6" w:space="1" w:color="auto"/>
          <w:between w:val="single" w:sz="6" w:space="1" w:color="auto"/>
        </w:pBdr>
        <w:spacing w:before="240"/>
        <w:ind w:left="1700"/>
        <w:rPr>
          <w:b/>
          <w:sz w:val="16"/>
          <w:szCs w:val="16"/>
        </w:rPr>
      </w:pPr>
    </w:p>
    <w:tbl>
      <w:tblPr>
        <w:tblW w:w="10893" w:type="dxa"/>
        <w:tblInd w:w="-3" w:type="dxa"/>
        <w:tblCellMar>
          <w:left w:w="0" w:type="dxa"/>
          <w:right w:w="0" w:type="dxa"/>
        </w:tblCellMar>
        <w:tblLook w:val="04A0" w:firstRow="1" w:lastRow="0" w:firstColumn="1" w:lastColumn="0" w:noHBand="0" w:noVBand="1"/>
      </w:tblPr>
      <w:tblGrid>
        <w:gridCol w:w="1728"/>
        <w:gridCol w:w="9165"/>
      </w:tblGrid>
      <w:tr w:rsidR="00842FCC" w:rsidRPr="00AC799B" w14:paraId="1FC1C52C" w14:textId="77777777" w:rsidTr="00C93A22">
        <w:trPr>
          <w:cantSplit/>
        </w:trPr>
        <w:tc>
          <w:tcPr>
            <w:tcW w:w="1728" w:type="dxa"/>
            <w:tcMar>
              <w:top w:w="0" w:type="dxa"/>
              <w:left w:w="108" w:type="dxa"/>
              <w:bottom w:w="0" w:type="dxa"/>
              <w:right w:w="108" w:type="dxa"/>
            </w:tcMar>
          </w:tcPr>
          <w:p w14:paraId="5913858E" w14:textId="23368A4F" w:rsidR="00842FCC" w:rsidRPr="00AC799B" w:rsidRDefault="00842FCC" w:rsidP="00C93A22">
            <w:pPr>
              <w:spacing w:line="252" w:lineRule="auto"/>
              <w:outlineLvl w:val="4"/>
              <w:rPr>
                <w:b/>
                <w:bCs/>
                <w:sz w:val="22"/>
                <w:szCs w:val="22"/>
              </w:rPr>
            </w:pPr>
            <w:r>
              <w:rPr>
                <w:b/>
                <w:bCs/>
                <w:sz w:val="22"/>
                <w:szCs w:val="22"/>
              </w:rPr>
              <w:t>Virginia Provider Network</w:t>
            </w:r>
          </w:p>
        </w:tc>
        <w:tc>
          <w:tcPr>
            <w:tcW w:w="9165" w:type="dxa"/>
            <w:tcMar>
              <w:top w:w="0" w:type="dxa"/>
              <w:left w:w="108" w:type="dxa"/>
              <w:bottom w:w="0" w:type="dxa"/>
              <w:right w:w="108" w:type="dxa"/>
            </w:tcMar>
          </w:tcPr>
          <w:p w14:paraId="768F334C" w14:textId="77777777" w:rsidR="00E56FE7" w:rsidRDefault="00E56FE7"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Pr>
                <w:rFonts w:eastAsia="Aptos"/>
                <w:sz w:val="20"/>
                <w14:ligatures w14:val="standardContextual"/>
              </w:rPr>
              <w:t>A list of participating companies is accessible through the DOA State Payroll Operations Reference webpage:</w:t>
            </w:r>
          </w:p>
          <w:p w14:paraId="6EAFCEC9" w14:textId="77777777" w:rsidR="00E56FE7" w:rsidRDefault="00E56FE7"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Pr>
                <w:rFonts w:eastAsia="Aptos"/>
                <w:sz w:val="20"/>
                <w14:ligatures w14:val="standardContextual"/>
              </w:rPr>
              <w:t>Miscellaneous Insurances and Annuities</w:t>
            </w:r>
          </w:p>
          <w:p w14:paraId="699CEFAD" w14:textId="77777777" w:rsidR="00E56FE7" w:rsidRDefault="00E56FE7"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Pr>
                <w:rFonts w:eastAsia="Aptos"/>
                <w:sz w:val="20"/>
                <w14:ligatures w14:val="standardContextual"/>
              </w:rPr>
              <w:t>FBMC Benefits Management Inc</w:t>
            </w:r>
          </w:p>
          <w:p w14:paraId="44A3A706" w14:textId="77777777" w:rsidR="00E56FE7" w:rsidRDefault="00E56FE7"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Pr>
                <w:rFonts w:eastAsia="Aptos"/>
                <w:sz w:val="20"/>
                <w14:ligatures w14:val="standardContextual"/>
              </w:rPr>
              <w:t xml:space="preserve">Or through this direct link:  </w:t>
            </w:r>
          </w:p>
          <w:p w14:paraId="554B6F97" w14:textId="77777777" w:rsidR="00E56FE7" w:rsidRDefault="00670F2B"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hyperlink r:id="rId8" w:history="1">
              <w:r w:rsidR="00E56FE7" w:rsidRPr="0045050C">
                <w:rPr>
                  <w:rStyle w:val="Hyperlink"/>
                  <w:rFonts w:eastAsia="Aptos"/>
                  <w:sz w:val="20"/>
                  <w14:ligatures w14:val="standardContextual"/>
                </w:rPr>
                <w:t>https://www.fbmc-benefits.com/VaProviderNetwork/index.asp</w:t>
              </w:r>
            </w:hyperlink>
          </w:p>
          <w:p w14:paraId="4A04C899" w14:textId="77777777" w:rsidR="00E56FE7" w:rsidRDefault="00E56FE7"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p>
          <w:p w14:paraId="5CF78BF9" w14:textId="34908022" w:rsidR="00842FCC" w:rsidRPr="00AC799B" w:rsidRDefault="00E56FE7" w:rsidP="00E5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Pr>
                <w:rFonts w:eastAsia="Aptos"/>
                <w:sz w:val="20"/>
                <w14:ligatures w14:val="standardContextual"/>
              </w:rPr>
              <w:t>Note:  The Commonwealth provides payroll deduction for this program as a courtesy to employees in the central payroll system but does not endorse any of the providers in any way.  Companies providing products supporting health and wellness and who are interested in participating in the Virginia Provider Network must be recommended to FBMC by a state agency.  Companies are then vetted by FBMC and sign a contract with FBMC for participation.</w:t>
            </w:r>
          </w:p>
        </w:tc>
      </w:tr>
    </w:tbl>
    <w:p w14:paraId="67B5EA2B" w14:textId="77777777" w:rsidR="00842FCC" w:rsidRPr="00AC799B" w:rsidRDefault="00842FCC" w:rsidP="00842FCC">
      <w:pPr>
        <w:pBdr>
          <w:top w:val="single" w:sz="6" w:space="1" w:color="auto"/>
          <w:between w:val="single" w:sz="6" w:space="1" w:color="auto"/>
        </w:pBdr>
        <w:spacing w:before="120"/>
        <w:ind w:left="1699"/>
        <w:rPr>
          <w:b/>
          <w:sz w:val="16"/>
          <w:szCs w:val="16"/>
        </w:rPr>
      </w:pPr>
    </w:p>
    <w:tbl>
      <w:tblPr>
        <w:tblW w:w="10893" w:type="dxa"/>
        <w:tblInd w:w="-3" w:type="dxa"/>
        <w:tblCellMar>
          <w:left w:w="0" w:type="dxa"/>
          <w:right w:w="0" w:type="dxa"/>
        </w:tblCellMar>
        <w:tblLook w:val="04A0" w:firstRow="1" w:lastRow="0" w:firstColumn="1" w:lastColumn="0" w:noHBand="0" w:noVBand="1"/>
      </w:tblPr>
      <w:tblGrid>
        <w:gridCol w:w="1728"/>
        <w:gridCol w:w="9165"/>
      </w:tblGrid>
      <w:tr w:rsidR="00AC799B" w:rsidRPr="00AC799B" w14:paraId="1670AF4A" w14:textId="77777777" w:rsidTr="005623DA">
        <w:trPr>
          <w:cantSplit/>
        </w:trPr>
        <w:tc>
          <w:tcPr>
            <w:tcW w:w="1728" w:type="dxa"/>
            <w:tcMar>
              <w:top w:w="0" w:type="dxa"/>
              <w:left w:w="108" w:type="dxa"/>
              <w:bottom w:w="0" w:type="dxa"/>
              <w:right w:w="108" w:type="dxa"/>
            </w:tcMar>
          </w:tcPr>
          <w:p w14:paraId="0005E8B8" w14:textId="06128F4C" w:rsidR="00AC799B" w:rsidRPr="00AC799B" w:rsidRDefault="005623DA" w:rsidP="00AC799B">
            <w:pPr>
              <w:spacing w:line="252" w:lineRule="auto"/>
              <w:outlineLvl w:val="4"/>
              <w:rPr>
                <w:b/>
                <w:bCs/>
                <w:sz w:val="22"/>
                <w:szCs w:val="22"/>
              </w:rPr>
            </w:pPr>
            <w:bookmarkStart w:id="1" w:name="_Hlk181950703"/>
            <w:bookmarkEnd w:id="0"/>
            <w:r>
              <w:rPr>
                <w:b/>
                <w:bCs/>
                <w:sz w:val="22"/>
                <w:szCs w:val="22"/>
              </w:rPr>
              <w:t>Updated Administrative Manual</w:t>
            </w:r>
            <w:r w:rsidR="003C415D">
              <w:rPr>
                <w:b/>
                <w:bCs/>
                <w:sz w:val="22"/>
                <w:szCs w:val="22"/>
              </w:rPr>
              <w:t xml:space="preserve"> and Forms</w:t>
            </w:r>
          </w:p>
        </w:tc>
        <w:tc>
          <w:tcPr>
            <w:tcW w:w="9165" w:type="dxa"/>
            <w:tcMar>
              <w:top w:w="0" w:type="dxa"/>
              <w:left w:w="108" w:type="dxa"/>
              <w:bottom w:w="0" w:type="dxa"/>
              <w:right w:w="108" w:type="dxa"/>
            </w:tcMar>
          </w:tcPr>
          <w:p w14:paraId="32EBADA0" w14:textId="2043B079" w:rsidR="00AC799B" w:rsidRPr="00AC799B" w:rsidRDefault="0063116E" w:rsidP="0056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Pr>
                <w:rFonts w:eastAsia="Aptos"/>
                <w:sz w:val="20"/>
                <w14:ligatures w14:val="standardContextual"/>
              </w:rPr>
              <w:t xml:space="preserve">Updated versions </w:t>
            </w:r>
            <w:r w:rsidR="005623DA">
              <w:rPr>
                <w:rFonts w:eastAsia="Aptos"/>
                <w:sz w:val="20"/>
                <w14:ligatures w14:val="standardContextual"/>
              </w:rPr>
              <w:t xml:space="preserve">of the Miscellaneous Insurances and Annuities Administrative Manual </w:t>
            </w:r>
            <w:r>
              <w:rPr>
                <w:rFonts w:eastAsia="Aptos"/>
                <w:sz w:val="20"/>
                <w14:ligatures w14:val="standardContextual"/>
              </w:rPr>
              <w:t xml:space="preserve">and the associated forms have </w:t>
            </w:r>
            <w:r w:rsidR="005623DA">
              <w:rPr>
                <w:rFonts w:eastAsia="Aptos"/>
                <w:sz w:val="20"/>
                <w14:ligatures w14:val="standardContextual"/>
              </w:rPr>
              <w:t>been placed on the SPO Forms webpage.  Please refer to th</w:t>
            </w:r>
            <w:r>
              <w:rPr>
                <w:rFonts w:eastAsia="Aptos"/>
                <w:sz w:val="20"/>
                <w14:ligatures w14:val="standardContextual"/>
              </w:rPr>
              <w:t>e</w:t>
            </w:r>
            <w:r w:rsidR="005623DA">
              <w:rPr>
                <w:rFonts w:eastAsia="Aptos"/>
                <w:sz w:val="20"/>
                <w14:ligatures w14:val="standardContextual"/>
              </w:rPr>
              <w:t xml:space="preserve"> manual for proper handling of enrollments and changes in the miscellaneous insurance products and 403(b) annuities administered through FBMC.</w:t>
            </w:r>
            <w:r>
              <w:rPr>
                <w:rFonts w:eastAsia="Aptos"/>
                <w:sz w:val="20"/>
                <w14:ligatures w14:val="standardContextual"/>
              </w:rPr>
              <w:t xml:space="preserve">  Please ensure Benefits Administrators are using updated forms.</w:t>
            </w:r>
          </w:p>
        </w:tc>
      </w:tr>
      <w:bookmarkEnd w:id="1"/>
    </w:tbl>
    <w:p w14:paraId="463B3730" w14:textId="77777777" w:rsidR="00AC799B" w:rsidRPr="00AC799B" w:rsidRDefault="00AC799B" w:rsidP="00AC799B">
      <w:pPr>
        <w:pBdr>
          <w:top w:val="single" w:sz="6" w:space="1" w:color="auto"/>
          <w:between w:val="single" w:sz="6" w:space="1" w:color="auto"/>
        </w:pBdr>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AC799B" w14:paraId="27EC957E" w14:textId="77777777" w:rsidTr="005623DA">
        <w:tc>
          <w:tcPr>
            <w:tcW w:w="1713" w:type="dxa"/>
            <w:tcMar>
              <w:top w:w="0" w:type="dxa"/>
              <w:left w:w="108" w:type="dxa"/>
              <w:bottom w:w="0" w:type="dxa"/>
              <w:right w:w="108" w:type="dxa"/>
            </w:tcMar>
          </w:tcPr>
          <w:p w14:paraId="4FD20D20" w14:textId="77777777" w:rsidR="00AC799B" w:rsidRDefault="005623DA" w:rsidP="00AC799B">
            <w:pPr>
              <w:rPr>
                <w:b/>
                <w:bCs/>
                <w:sz w:val="22"/>
                <w:szCs w:val="22"/>
              </w:rPr>
            </w:pPr>
            <w:bookmarkStart w:id="2" w:name="_Hlk182829198"/>
            <w:r>
              <w:rPr>
                <w:b/>
                <w:bCs/>
                <w:sz w:val="22"/>
                <w:szCs w:val="22"/>
              </w:rPr>
              <w:t>Insurance Premiums</w:t>
            </w:r>
          </w:p>
          <w:p w14:paraId="68C114A9" w14:textId="0F5E6CB8" w:rsidR="00BE4EED" w:rsidRPr="00AC799B" w:rsidRDefault="00BE4EED" w:rsidP="00AC799B">
            <w:pPr>
              <w:rPr>
                <w:b/>
                <w:bCs/>
                <w:sz w:val="22"/>
                <w:szCs w:val="22"/>
              </w:rPr>
            </w:pPr>
            <w:r>
              <w:rPr>
                <w:b/>
                <w:bCs/>
                <w:sz w:val="22"/>
                <w:szCs w:val="22"/>
              </w:rPr>
              <w:t>Reminders</w:t>
            </w:r>
          </w:p>
        </w:tc>
        <w:tc>
          <w:tcPr>
            <w:tcW w:w="9090" w:type="dxa"/>
            <w:tcMar>
              <w:left w:w="115" w:type="dxa"/>
              <w:right w:w="115" w:type="dxa"/>
            </w:tcMar>
          </w:tcPr>
          <w:p w14:paraId="0C36829D" w14:textId="63BDB1D9" w:rsidR="00DB48CD" w:rsidRDefault="00DB48CD" w:rsidP="0056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Pr>
                <w:b/>
                <w:bCs/>
                <w:sz w:val="22"/>
                <w:szCs w:val="22"/>
              </w:rPr>
              <w:t>Monthly Premiums</w:t>
            </w:r>
            <w:r>
              <w:rPr>
                <w:rFonts w:eastAsia="Aptos"/>
                <w:sz w:val="20"/>
              </w:rPr>
              <w:t xml:space="preserve"> </w:t>
            </w:r>
          </w:p>
          <w:p w14:paraId="25FFD9DC" w14:textId="4FEE8378" w:rsidR="00DB48CD" w:rsidRDefault="00FF02CC" w:rsidP="0056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Pr>
                <w:rFonts w:eastAsia="Aptos"/>
                <w:sz w:val="20"/>
              </w:rPr>
              <w:t xml:space="preserve">Agencies are reminded that insurance premiums </w:t>
            </w:r>
            <w:r w:rsidR="0063116E">
              <w:rPr>
                <w:rFonts w:eastAsia="Aptos"/>
                <w:sz w:val="20"/>
              </w:rPr>
              <w:t xml:space="preserve">(PSTTAX) </w:t>
            </w:r>
            <w:r>
              <w:rPr>
                <w:rFonts w:eastAsia="Aptos"/>
                <w:sz w:val="20"/>
              </w:rPr>
              <w:t xml:space="preserve">are amounts that are due </w:t>
            </w:r>
            <w:proofErr w:type="gramStart"/>
            <w:r>
              <w:rPr>
                <w:rFonts w:eastAsia="Aptos"/>
                <w:sz w:val="20"/>
              </w:rPr>
              <w:t>on a monthly basis</w:t>
            </w:r>
            <w:proofErr w:type="gramEnd"/>
            <w:r>
              <w:rPr>
                <w:rFonts w:eastAsia="Aptos"/>
                <w:sz w:val="20"/>
              </w:rPr>
              <w:t>.  Changes should never be made mid-month, unless the first half of the month is also taken into consideration.</w:t>
            </w:r>
          </w:p>
          <w:p w14:paraId="673640A8" w14:textId="77777777" w:rsidR="00DB48CD" w:rsidRDefault="00DB48CD" w:rsidP="0056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p>
          <w:p w14:paraId="23326023" w14:textId="5C3C0F41" w:rsidR="00DB48CD" w:rsidRDefault="00DB48CD" w:rsidP="0056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Pr>
                <w:b/>
                <w:bCs/>
                <w:sz w:val="22"/>
                <w:szCs w:val="22"/>
              </w:rPr>
              <w:t>Policy Cancellations</w:t>
            </w:r>
          </w:p>
          <w:p w14:paraId="7EF569E6" w14:textId="63CE4DA1" w:rsidR="00F41CFA" w:rsidRPr="00AC799B" w:rsidRDefault="00DB48CD" w:rsidP="0056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Pr>
                <w:rFonts w:eastAsia="Aptos"/>
                <w:sz w:val="20"/>
              </w:rPr>
              <w:t xml:space="preserve">Employees may cancel existing policies </w:t>
            </w:r>
            <w:r w:rsidRPr="00DB48CD">
              <w:rPr>
                <w:rFonts w:eastAsia="Aptos"/>
                <w:sz w:val="20"/>
              </w:rPr>
              <w:t xml:space="preserve">at any time by </w:t>
            </w:r>
            <w:r>
              <w:rPr>
                <w:rFonts w:eastAsia="Aptos"/>
                <w:sz w:val="20"/>
              </w:rPr>
              <w:t xml:space="preserve">submitting </w:t>
            </w:r>
            <w:r w:rsidRPr="00DB48CD">
              <w:rPr>
                <w:rFonts w:eastAsia="Aptos"/>
                <w:sz w:val="20"/>
              </w:rPr>
              <w:t>written notification</w:t>
            </w:r>
            <w:r w:rsidR="000F2D58">
              <w:rPr>
                <w:rFonts w:eastAsia="Aptos"/>
                <w:sz w:val="20"/>
              </w:rPr>
              <w:t xml:space="preserve"> to FBMC through Benefit Administrators in the form of the Post Tax Salary Deduction Authorization, </w:t>
            </w:r>
            <w:r w:rsidRPr="00DB48CD">
              <w:rPr>
                <w:rFonts w:eastAsia="Aptos"/>
                <w:sz w:val="20"/>
              </w:rPr>
              <w:t>subject to terms of the cancellation clause of the policy</w:t>
            </w:r>
            <w:r w:rsidR="000F2D58">
              <w:rPr>
                <w:rFonts w:eastAsia="Aptos"/>
                <w:sz w:val="20"/>
              </w:rPr>
              <w:t>.</w:t>
            </w:r>
          </w:p>
        </w:tc>
      </w:tr>
      <w:bookmarkEnd w:id="2"/>
    </w:tbl>
    <w:p w14:paraId="30539FAA" w14:textId="1694A051" w:rsidR="004F49F4" w:rsidRDefault="004F49F4" w:rsidP="00AC799B">
      <w:pPr>
        <w:pBdr>
          <w:top w:val="single" w:sz="6" w:space="1" w:color="auto"/>
          <w:between w:val="single" w:sz="6" w:space="1" w:color="auto"/>
        </w:pBdr>
        <w:spacing w:before="120"/>
        <w:ind w:left="1699"/>
        <w:rPr>
          <w:b/>
          <w:sz w:val="16"/>
          <w:szCs w:val="16"/>
        </w:rPr>
      </w:pPr>
    </w:p>
    <w:p w14:paraId="0F97B152" w14:textId="77777777" w:rsidR="004F49F4" w:rsidRDefault="004F49F4">
      <w:pPr>
        <w:rPr>
          <w:b/>
          <w:szCs w:val="24"/>
        </w:rPr>
      </w:pPr>
      <w:r>
        <w:rPr>
          <w:b/>
          <w:szCs w:val="24"/>
        </w:rPr>
        <w:br w:type="page"/>
      </w:r>
    </w:p>
    <w:p w14:paraId="11502F9C" w14:textId="0337A0BF" w:rsidR="004F49F4" w:rsidRPr="00AC799B" w:rsidRDefault="004F49F4" w:rsidP="004F49F4">
      <w:pPr>
        <w:rPr>
          <w:b/>
          <w:szCs w:val="24"/>
        </w:rPr>
      </w:pPr>
      <w:r>
        <w:rPr>
          <w:b/>
          <w:szCs w:val="24"/>
        </w:rPr>
        <w:lastRenderedPageBreak/>
        <w:t xml:space="preserve">Miscellaneous Insurances and Annuities, </w:t>
      </w:r>
      <w:r w:rsidRPr="004F49F4">
        <w:rPr>
          <w:bCs/>
          <w:szCs w:val="24"/>
        </w:rPr>
        <w:t>continued</w:t>
      </w:r>
    </w:p>
    <w:p w14:paraId="4C3F24AD" w14:textId="77777777" w:rsidR="004F49F4" w:rsidRDefault="004F49F4" w:rsidP="004F49F4">
      <w:pPr>
        <w:pBdr>
          <w:top w:val="single" w:sz="6" w:space="1" w:color="auto"/>
          <w:between w:val="single" w:sz="6" w:space="1" w:color="auto"/>
        </w:pBdr>
        <w:spacing w:before="240"/>
        <w:ind w:left="1700"/>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866347" w:rsidRPr="00AC799B" w14:paraId="1455E82F" w14:textId="77777777" w:rsidTr="00971984">
        <w:tc>
          <w:tcPr>
            <w:tcW w:w="1713" w:type="dxa"/>
            <w:tcMar>
              <w:top w:w="0" w:type="dxa"/>
              <w:left w:w="108" w:type="dxa"/>
              <w:bottom w:w="0" w:type="dxa"/>
              <w:right w:w="108" w:type="dxa"/>
            </w:tcMar>
          </w:tcPr>
          <w:p w14:paraId="40D7F98A" w14:textId="6FEA92B1" w:rsidR="00BE4EED" w:rsidRPr="00AC799B" w:rsidRDefault="00F41CFA" w:rsidP="00971984">
            <w:pPr>
              <w:rPr>
                <w:b/>
                <w:bCs/>
                <w:sz w:val="22"/>
                <w:szCs w:val="22"/>
              </w:rPr>
            </w:pPr>
            <w:bookmarkStart w:id="3" w:name="_Hlk182829239"/>
            <w:r>
              <w:rPr>
                <w:b/>
                <w:bCs/>
                <w:sz w:val="22"/>
                <w:szCs w:val="22"/>
              </w:rPr>
              <w:t>Miscellaneous Insurance Forms Flow</w:t>
            </w:r>
          </w:p>
        </w:tc>
        <w:tc>
          <w:tcPr>
            <w:tcW w:w="9090" w:type="dxa"/>
            <w:tcMar>
              <w:left w:w="115" w:type="dxa"/>
              <w:right w:w="115" w:type="dxa"/>
            </w:tcMar>
          </w:tcPr>
          <w:p w14:paraId="5DA67622" w14:textId="259E4ED3" w:rsidR="00F41CFA" w:rsidRPr="00F41CFA" w:rsidRDefault="00F41CFA" w:rsidP="00BE4EED">
            <w:pPr>
              <w:jc w:val="both"/>
              <w:rPr>
                <w:sz w:val="20"/>
              </w:rPr>
            </w:pPr>
            <w:r w:rsidRPr="00F41CFA">
              <w:rPr>
                <w:sz w:val="20"/>
              </w:rPr>
              <w:t>All post-tax S</w:t>
            </w:r>
            <w:r>
              <w:rPr>
                <w:sz w:val="20"/>
              </w:rPr>
              <w:t xml:space="preserve">alary </w:t>
            </w:r>
            <w:r w:rsidRPr="00F41CFA">
              <w:rPr>
                <w:sz w:val="20"/>
              </w:rPr>
              <w:t>D</w:t>
            </w:r>
            <w:r>
              <w:rPr>
                <w:sz w:val="20"/>
              </w:rPr>
              <w:t xml:space="preserve">eduction </w:t>
            </w:r>
            <w:r w:rsidRPr="00F41CFA">
              <w:rPr>
                <w:sz w:val="20"/>
              </w:rPr>
              <w:t>A</w:t>
            </w:r>
            <w:r>
              <w:rPr>
                <w:sz w:val="20"/>
              </w:rPr>
              <w:t>greement</w:t>
            </w:r>
            <w:r w:rsidRPr="00F41CFA">
              <w:rPr>
                <w:sz w:val="20"/>
              </w:rPr>
              <w:t xml:space="preserve">s must be initiated between the Vendor Agent and the employee. Upon completion, the form will be forwarded by the vendor agent to the vendor’s main office. When all underwriting requirements have been fulfilled, the original form will be forwarded to FBMC for data entry. FBMC will provide a Change File </w:t>
            </w:r>
            <w:r>
              <w:rPr>
                <w:sz w:val="20"/>
              </w:rPr>
              <w:t>for interface to Cardinal HCM.</w:t>
            </w:r>
          </w:p>
          <w:p w14:paraId="160D0329" w14:textId="77777777" w:rsidR="00F41CFA" w:rsidRPr="00F41CFA" w:rsidRDefault="00F41CFA" w:rsidP="00BE4EED">
            <w:pPr>
              <w:jc w:val="both"/>
              <w:rPr>
                <w:sz w:val="20"/>
              </w:rPr>
            </w:pPr>
          </w:p>
          <w:p w14:paraId="240A7313" w14:textId="77777777" w:rsidR="00F41CFA" w:rsidRPr="00F41CFA" w:rsidRDefault="00F41CFA" w:rsidP="00BE4EED">
            <w:pPr>
              <w:jc w:val="both"/>
              <w:rPr>
                <w:sz w:val="20"/>
              </w:rPr>
            </w:pPr>
            <w:r w:rsidRPr="00F41CFA">
              <w:rPr>
                <w:sz w:val="20"/>
              </w:rPr>
              <w:t>1. Employee contacts Vendor.</w:t>
            </w:r>
          </w:p>
          <w:p w14:paraId="12A3D3E0" w14:textId="77777777" w:rsidR="00F41CFA" w:rsidRPr="00F41CFA" w:rsidRDefault="00F41CFA" w:rsidP="00BE4EED">
            <w:pPr>
              <w:jc w:val="both"/>
              <w:rPr>
                <w:sz w:val="20"/>
              </w:rPr>
            </w:pPr>
            <w:r w:rsidRPr="00F41CFA">
              <w:rPr>
                <w:sz w:val="20"/>
              </w:rPr>
              <w:t xml:space="preserve">2. Vendor processes application. </w:t>
            </w:r>
          </w:p>
          <w:p w14:paraId="39ECE741" w14:textId="77777777" w:rsidR="00F41CFA" w:rsidRPr="00F41CFA" w:rsidRDefault="00F41CFA" w:rsidP="00F41CFA">
            <w:pPr>
              <w:ind w:left="243" w:hanging="243"/>
              <w:jc w:val="both"/>
              <w:rPr>
                <w:sz w:val="20"/>
              </w:rPr>
            </w:pPr>
            <w:r w:rsidRPr="00F41CFA">
              <w:rPr>
                <w:sz w:val="20"/>
              </w:rPr>
              <w:t xml:space="preserve">3. Vendor provides SDA to FBMC. This is provided to FBMC only AFTER underwriting (if required) has been completed. </w:t>
            </w:r>
          </w:p>
          <w:p w14:paraId="7D8E9C74" w14:textId="387BB611" w:rsidR="005622B1" w:rsidRPr="00F41CFA" w:rsidRDefault="00F41CFA" w:rsidP="00F41CFA">
            <w:pPr>
              <w:ind w:left="243" w:hanging="243"/>
              <w:jc w:val="both"/>
              <w:rPr>
                <w:sz w:val="20"/>
              </w:rPr>
            </w:pPr>
            <w:r w:rsidRPr="00F41CFA">
              <w:rPr>
                <w:sz w:val="20"/>
              </w:rPr>
              <w:t xml:space="preserve">4. FBMC data-enters the form and produces an Enrollment Change Report, which is then published to the FTP site for downloading. </w:t>
            </w:r>
          </w:p>
          <w:p w14:paraId="7A2D9911" w14:textId="77777777" w:rsidR="00F41CFA" w:rsidRDefault="00F41CFA" w:rsidP="00F41CFA">
            <w:pPr>
              <w:ind w:left="153" w:hanging="153"/>
              <w:jc w:val="both"/>
              <w:rPr>
                <w:sz w:val="20"/>
              </w:rPr>
            </w:pPr>
            <w:r w:rsidRPr="00F41CFA">
              <w:rPr>
                <w:sz w:val="20"/>
              </w:rPr>
              <w:t xml:space="preserve">5. The Payroll/Benefits Administrator may notify FBMC via e-mail, letter, or SDA form to stop a post-tax deduction. The employee should contact the vendor. </w:t>
            </w:r>
          </w:p>
          <w:p w14:paraId="5F72D574" w14:textId="77777777" w:rsidR="007A0591" w:rsidRDefault="00F41CFA" w:rsidP="007A0591">
            <w:pPr>
              <w:ind w:left="243" w:hanging="243"/>
              <w:jc w:val="both"/>
              <w:rPr>
                <w:bCs/>
                <w:sz w:val="20"/>
              </w:rPr>
            </w:pPr>
            <w:r w:rsidRPr="00F41CFA">
              <w:rPr>
                <w:sz w:val="20"/>
              </w:rPr>
              <w:t xml:space="preserve">6. </w:t>
            </w:r>
            <w:r w:rsidR="007A0591" w:rsidRPr="007A0591">
              <w:rPr>
                <w:bCs/>
                <w:sz w:val="20"/>
              </w:rPr>
              <w:t>Department of Accounts receives the automated Change File which updates deduction premiums in the Cardinal HCM system.</w:t>
            </w:r>
            <w:r w:rsidR="007A0591">
              <w:rPr>
                <w:bCs/>
                <w:sz w:val="20"/>
              </w:rPr>
              <w:t xml:space="preserve"> </w:t>
            </w:r>
          </w:p>
          <w:p w14:paraId="388D006B" w14:textId="2AC44D83" w:rsidR="007A0591" w:rsidRPr="00F41CFA" w:rsidRDefault="007A0591" w:rsidP="007A0591">
            <w:pPr>
              <w:ind w:left="243" w:hanging="243"/>
              <w:jc w:val="both"/>
              <w:rPr>
                <w:sz w:val="20"/>
              </w:rPr>
            </w:pPr>
            <w:r>
              <w:rPr>
                <w:bCs/>
                <w:sz w:val="20"/>
              </w:rPr>
              <w:t xml:space="preserve">7. </w:t>
            </w:r>
            <w:r w:rsidRPr="00F41CFA">
              <w:rPr>
                <w:sz w:val="20"/>
              </w:rPr>
              <w:t>Deductions for Miscellaneous insurance products should always have an effective date for the first day of the month (first pay period of the month) since premiums are paid out monthly to the vendors by the 20th of the following month. Policy effective dates must take this into account. Deductions that start in the second half of the month will result in partial premium payments that may result in cancellation of policies.</w:t>
            </w:r>
          </w:p>
        </w:tc>
      </w:tr>
      <w:bookmarkEnd w:id="3"/>
    </w:tbl>
    <w:p w14:paraId="3EB90859" w14:textId="77777777" w:rsidR="00866347" w:rsidRDefault="00866347" w:rsidP="00866347">
      <w:pPr>
        <w:pBdr>
          <w:top w:val="single" w:sz="6" w:space="1" w:color="auto"/>
          <w:between w:val="single" w:sz="6" w:space="1" w:color="auto"/>
        </w:pBdr>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F41CFA" w:rsidRPr="00AC799B" w14:paraId="072F444A" w14:textId="77777777" w:rsidTr="00685D5D">
        <w:tc>
          <w:tcPr>
            <w:tcW w:w="1713" w:type="dxa"/>
            <w:tcMar>
              <w:top w:w="0" w:type="dxa"/>
              <w:left w:w="108" w:type="dxa"/>
              <w:bottom w:w="0" w:type="dxa"/>
              <w:right w:w="108" w:type="dxa"/>
            </w:tcMar>
          </w:tcPr>
          <w:p w14:paraId="2BF451D9" w14:textId="77777777" w:rsidR="00F41CFA" w:rsidRDefault="00F41CFA" w:rsidP="00685D5D">
            <w:pPr>
              <w:rPr>
                <w:b/>
                <w:bCs/>
                <w:sz w:val="22"/>
                <w:szCs w:val="22"/>
              </w:rPr>
            </w:pPr>
            <w:r>
              <w:rPr>
                <w:b/>
                <w:sz w:val="16"/>
                <w:szCs w:val="16"/>
              </w:rPr>
              <w:br w:type="page"/>
            </w:r>
            <w:r>
              <w:rPr>
                <w:b/>
                <w:bCs/>
                <w:sz w:val="22"/>
                <w:szCs w:val="22"/>
              </w:rPr>
              <w:t>Annuity</w:t>
            </w:r>
          </w:p>
          <w:p w14:paraId="56F4B39F" w14:textId="77777777" w:rsidR="00F41CFA" w:rsidRPr="00AC799B" w:rsidRDefault="00F41CFA" w:rsidP="00685D5D">
            <w:pPr>
              <w:rPr>
                <w:b/>
                <w:bCs/>
                <w:sz w:val="22"/>
                <w:szCs w:val="22"/>
              </w:rPr>
            </w:pPr>
            <w:r>
              <w:rPr>
                <w:b/>
                <w:bCs/>
                <w:sz w:val="22"/>
                <w:szCs w:val="22"/>
              </w:rPr>
              <w:t>Reminders</w:t>
            </w:r>
          </w:p>
        </w:tc>
        <w:tc>
          <w:tcPr>
            <w:tcW w:w="9090" w:type="dxa"/>
            <w:tcMar>
              <w:left w:w="115" w:type="dxa"/>
              <w:right w:w="115" w:type="dxa"/>
            </w:tcMar>
          </w:tcPr>
          <w:p w14:paraId="049BAC2D" w14:textId="77777777" w:rsidR="00F41CFA" w:rsidRPr="007A0591" w:rsidRDefault="00F41CFA" w:rsidP="00685D5D">
            <w:pPr>
              <w:jc w:val="both"/>
              <w:rPr>
                <w:sz w:val="20"/>
              </w:rPr>
            </w:pPr>
            <w:r w:rsidRPr="007A0591">
              <w:rPr>
                <w:b/>
                <w:bCs/>
                <w:sz w:val="20"/>
              </w:rPr>
              <w:t>One-time Deferrals</w:t>
            </w:r>
            <w:r w:rsidRPr="007A0591">
              <w:rPr>
                <w:sz w:val="20"/>
              </w:rPr>
              <w:t xml:space="preserve"> </w:t>
            </w:r>
          </w:p>
          <w:p w14:paraId="6328E834" w14:textId="77777777" w:rsidR="00F41CFA" w:rsidRPr="007A0591" w:rsidRDefault="00F41CFA" w:rsidP="00685D5D">
            <w:pPr>
              <w:jc w:val="both"/>
              <w:rPr>
                <w:sz w:val="20"/>
              </w:rPr>
            </w:pPr>
            <w:r w:rsidRPr="007A0591">
              <w:rPr>
                <w:sz w:val="20"/>
              </w:rPr>
              <w:t xml:space="preserve">Agencies are reminded that employees wishing to make a one-time contribution to an existing 403(b) account must submit a completed Salary Reduction Agreement form to their Benefits Administrator before the end of the month prior to when the deduction from pay occurs.  The amount to be deducted should be noted on the “Special Payout” line.  </w:t>
            </w:r>
          </w:p>
          <w:p w14:paraId="3360F306" w14:textId="77777777" w:rsidR="00F41CFA" w:rsidRPr="007A0591" w:rsidRDefault="00F41CFA" w:rsidP="00685D5D">
            <w:pPr>
              <w:jc w:val="both"/>
              <w:rPr>
                <w:sz w:val="20"/>
              </w:rPr>
            </w:pPr>
          </w:p>
          <w:p w14:paraId="295808BE" w14:textId="77777777" w:rsidR="00F41CFA" w:rsidRPr="007A0591" w:rsidRDefault="00F41CFA" w:rsidP="00685D5D">
            <w:pPr>
              <w:jc w:val="both"/>
              <w:rPr>
                <w:b/>
                <w:bCs/>
                <w:sz w:val="20"/>
              </w:rPr>
            </w:pPr>
            <w:r w:rsidRPr="007A0591">
              <w:rPr>
                <w:b/>
                <w:bCs/>
                <w:sz w:val="20"/>
              </w:rPr>
              <w:t>Changes to Existing Annuity Deferral Amounts</w:t>
            </w:r>
          </w:p>
          <w:p w14:paraId="31543984" w14:textId="77777777" w:rsidR="00F41CFA" w:rsidRPr="007A0591" w:rsidRDefault="00F41CFA" w:rsidP="00685D5D">
            <w:pPr>
              <w:jc w:val="both"/>
              <w:rPr>
                <w:sz w:val="20"/>
              </w:rPr>
            </w:pPr>
            <w:r w:rsidRPr="007A0591">
              <w:rPr>
                <w:sz w:val="20"/>
              </w:rPr>
              <w:t xml:space="preserve">Employees wishing to change the amount of an existing deferral must submit a new Salary Reduction Agreement form to the agency Benefits </w:t>
            </w:r>
            <w:proofErr w:type="spellStart"/>
            <w:r w:rsidRPr="007A0591">
              <w:rPr>
                <w:sz w:val="20"/>
              </w:rPr>
              <w:t>Admiistrator</w:t>
            </w:r>
            <w:proofErr w:type="spellEnd"/>
            <w:r w:rsidRPr="007A0591">
              <w:rPr>
                <w:sz w:val="20"/>
              </w:rPr>
              <w:t xml:space="preserve"> at least 30 days prior to the effective date of the change.</w:t>
            </w:r>
          </w:p>
        </w:tc>
      </w:tr>
    </w:tbl>
    <w:p w14:paraId="19EBB925" w14:textId="77777777" w:rsidR="00F41CFA" w:rsidRPr="00AC799B" w:rsidRDefault="00F41CFA" w:rsidP="00866347">
      <w:pPr>
        <w:pBdr>
          <w:top w:val="single" w:sz="6" w:space="1" w:color="auto"/>
          <w:between w:val="single" w:sz="6" w:space="1" w:color="auto"/>
        </w:pBdr>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46241D" w:rsidRPr="0046241D" w14:paraId="366A142E" w14:textId="77777777" w:rsidTr="00685D5D">
        <w:tc>
          <w:tcPr>
            <w:tcW w:w="1713" w:type="dxa"/>
            <w:tcMar>
              <w:top w:w="0" w:type="dxa"/>
              <w:left w:w="108" w:type="dxa"/>
              <w:bottom w:w="0" w:type="dxa"/>
              <w:right w:w="108" w:type="dxa"/>
            </w:tcMar>
          </w:tcPr>
          <w:p w14:paraId="5A67FB72" w14:textId="77777777" w:rsidR="0046241D" w:rsidRDefault="0046241D" w:rsidP="0046241D">
            <w:pPr>
              <w:rPr>
                <w:b/>
                <w:bCs/>
                <w:sz w:val="22"/>
                <w:szCs w:val="22"/>
              </w:rPr>
            </w:pPr>
            <w:r>
              <w:rPr>
                <w:b/>
                <w:bCs/>
                <w:sz w:val="22"/>
                <w:szCs w:val="22"/>
              </w:rPr>
              <w:t>Annuity</w:t>
            </w:r>
          </w:p>
          <w:p w14:paraId="72AFC2A9" w14:textId="55CB7904" w:rsidR="0046241D" w:rsidRPr="0046241D" w:rsidRDefault="0046241D" w:rsidP="0046241D">
            <w:pPr>
              <w:rPr>
                <w:b/>
                <w:bCs/>
                <w:szCs w:val="24"/>
              </w:rPr>
            </w:pPr>
            <w:r>
              <w:rPr>
                <w:b/>
                <w:bCs/>
                <w:sz w:val="22"/>
                <w:szCs w:val="22"/>
              </w:rPr>
              <w:t>Form Flow</w:t>
            </w:r>
          </w:p>
        </w:tc>
        <w:tc>
          <w:tcPr>
            <w:tcW w:w="9090" w:type="dxa"/>
            <w:tcMar>
              <w:left w:w="115" w:type="dxa"/>
              <w:right w:w="115" w:type="dxa"/>
            </w:tcMar>
          </w:tcPr>
          <w:p w14:paraId="6BA2DAE8" w14:textId="77777777" w:rsidR="0046241D" w:rsidRDefault="007A0591" w:rsidP="0046241D">
            <w:pPr>
              <w:rPr>
                <w:sz w:val="20"/>
              </w:rPr>
            </w:pPr>
            <w:r w:rsidRPr="007A0591">
              <w:rPr>
                <w:sz w:val="20"/>
              </w:rPr>
              <w:t>All 403(b) S</w:t>
            </w:r>
            <w:r>
              <w:rPr>
                <w:sz w:val="20"/>
              </w:rPr>
              <w:t xml:space="preserve">alary </w:t>
            </w:r>
            <w:r w:rsidRPr="007A0591">
              <w:rPr>
                <w:sz w:val="20"/>
              </w:rPr>
              <w:t>R</w:t>
            </w:r>
            <w:r>
              <w:rPr>
                <w:sz w:val="20"/>
              </w:rPr>
              <w:t xml:space="preserve">eduction </w:t>
            </w:r>
            <w:r w:rsidRPr="007A0591">
              <w:rPr>
                <w:sz w:val="20"/>
              </w:rPr>
              <w:t>A</w:t>
            </w:r>
            <w:r>
              <w:rPr>
                <w:sz w:val="20"/>
              </w:rPr>
              <w:t>greements</w:t>
            </w:r>
            <w:r w:rsidRPr="007A0591">
              <w:rPr>
                <w:sz w:val="20"/>
              </w:rPr>
              <w:t xml:space="preserve"> will be initiated between the Vendor/Agent and the employee. This form only authorizes the agency to reduce the employee’s salary by the amount to be sent to the investment provider by the agency on behalf of the employee. This is not an internal investment provider application form to establish the 403(b) account.</w:t>
            </w:r>
          </w:p>
          <w:p w14:paraId="734488B0" w14:textId="77777777" w:rsidR="007A0591" w:rsidRDefault="007A0591" w:rsidP="0046241D">
            <w:pPr>
              <w:rPr>
                <w:b/>
                <w:sz w:val="20"/>
              </w:rPr>
            </w:pPr>
          </w:p>
          <w:p w14:paraId="353BC4B3" w14:textId="77777777" w:rsidR="007A0591" w:rsidRDefault="007A0591" w:rsidP="0046241D">
            <w:pPr>
              <w:rPr>
                <w:bCs/>
                <w:sz w:val="20"/>
              </w:rPr>
            </w:pPr>
            <w:r w:rsidRPr="007A0591">
              <w:rPr>
                <w:bCs/>
                <w:sz w:val="20"/>
              </w:rPr>
              <w:t xml:space="preserve">1. Employee contacts Vendor. </w:t>
            </w:r>
          </w:p>
          <w:p w14:paraId="01ACAE40" w14:textId="77777777" w:rsidR="007A0591" w:rsidRDefault="007A0591" w:rsidP="0046241D">
            <w:pPr>
              <w:rPr>
                <w:bCs/>
                <w:sz w:val="20"/>
              </w:rPr>
            </w:pPr>
            <w:r w:rsidRPr="007A0591">
              <w:rPr>
                <w:bCs/>
                <w:sz w:val="20"/>
              </w:rPr>
              <w:t xml:space="preserve">2. Vendor processes application to establish 403(b) account. </w:t>
            </w:r>
          </w:p>
          <w:p w14:paraId="5F7C1A6D" w14:textId="77777777" w:rsidR="007A0591" w:rsidRDefault="007A0591" w:rsidP="0046241D">
            <w:pPr>
              <w:rPr>
                <w:bCs/>
                <w:sz w:val="20"/>
              </w:rPr>
            </w:pPr>
            <w:r w:rsidRPr="007A0591">
              <w:rPr>
                <w:bCs/>
                <w:sz w:val="20"/>
              </w:rPr>
              <w:t xml:space="preserve">3. Vendor and employee complete the original SRA. </w:t>
            </w:r>
          </w:p>
          <w:p w14:paraId="48904922" w14:textId="77777777" w:rsidR="007A0591" w:rsidRDefault="007A0591" w:rsidP="007A0591">
            <w:pPr>
              <w:ind w:left="243" w:hanging="243"/>
              <w:rPr>
                <w:bCs/>
                <w:sz w:val="20"/>
              </w:rPr>
            </w:pPr>
            <w:r w:rsidRPr="007A0591">
              <w:rPr>
                <w:bCs/>
                <w:sz w:val="20"/>
              </w:rPr>
              <w:t xml:space="preserve">4. Vendor and employee provides the original SRA to Agency Payroll / Benefits Administrator for approval and signoff. The original SRA remains with the Agency for filing. </w:t>
            </w:r>
          </w:p>
          <w:p w14:paraId="32A16DB2" w14:textId="77777777" w:rsidR="007A0591" w:rsidRDefault="007A0591" w:rsidP="007A0591">
            <w:pPr>
              <w:ind w:left="243" w:hanging="243"/>
              <w:rPr>
                <w:bCs/>
                <w:sz w:val="20"/>
              </w:rPr>
            </w:pPr>
            <w:r w:rsidRPr="007A0591">
              <w:rPr>
                <w:bCs/>
                <w:sz w:val="20"/>
              </w:rPr>
              <w:t>5. Agency Payroll / Benefits Administrator provides the employer signed SRA to FBMC via Fax</w:t>
            </w:r>
            <w:r>
              <w:rPr>
                <w:bCs/>
                <w:sz w:val="20"/>
              </w:rPr>
              <w:t xml:space="preserve"> (850-425-8345)</w:t>
            </w:r>
          </w:p>
          <w:p w14:paraId="7C9BD2F3" w14:textId="77777777" w:rsidR="007A0591" w:rsidRDefault="007A0591" w:rsidP="007A0591">
            <w:pPr>
              <w:ind w:left="243" w:hanging="243"/>
              <w:rPr>
                <w:sz w:val="20"/>
              </w:rPr>
            </w:pPr>
            <w:r w:rsidRPr="007A0591">
              <w:rPr>
                <w:sz w:val="20"/>
              </w:rPr>
              <w:t>6. FBMC verifies that the SRA is complete; FBMC data-enters the contribution amount and pay date effective date. FBMC then produces a Change File</w:t>
            </w:r>
            <w:r>
              <w:rPr>
                <w:sz w:val="20"/>
              </w:rPr>
              <w:t xml:space="preserve"> for interface to Cardinal HCM.</w:t>
            </w:r>
          </w:p>
          <w:p w14:paraId="39A35045" w14:textId="431D2CB1" w:rsidR="007A0591" w:rsidRDefault="007A0591" w:rsidP="007A0591">
            <w:pPr>
              <w:ind w:left="243" w:hanging="243"/>
              <w:rPr>
                <w:bCs/>
                <w:sz w:val="20"/>
              </w:rPr>
            </w:pPr>
            <w:r>
              <w:rPr>
                <w:bCs/>
                <w:sz w:val="20"/>
              </w:rPr>
              <w:t xml:space="preserve">7. </w:t>
            </w:r>
            <w:r w:rsidRPr="007A0591">
              <w:rPr>
                <w:bCs/>
                <w:sz w:val="20"/>
              </w:rPr>
              <w:t xml:space="preserve">Department of Accounts receives the automated Change File which updates </w:t>
            </w:r>
            <w:r>
              <w:rPr>
                <w:bCs/>
                <w:sz w:val="20"/>
              </w:rPr>
              <w:t xml:space="preserve">annuity amounts </w:t>
            </w:r>
            <w:r w:rsidRPr="007A0591">
              <w:rPr>
                <w:bCs/>
                <w:sz w:val="20"/>
              </w:rPr>
              <w:t>and administrative fees in</w:t>
            </w:r>
            <w:r>
              <w:rPr>
                <w:bCs/>
                <w:sz w:val="20"/>
              </w:rPr>
              <w:t xml:space="preserve"> t</w:t>
            </w:r>
            <w:r w:rsidRPr="007A0591">
              <w:rPr>
                <w:bCs/>
                <w:sz w:val="20"/>
              </w:rPr>
              <w:t xml:space="preserve">he Cardinal HCM system. </w:t>
            </w:r>
          </w:p>
          <w:p w14:paraId="1329673C" w14:textId="1F1579D0" w:rsidR="007A0591" w:rsidRPr="0046241D" w:rsidRDefault="007A0591" w:rsidP="007A0591">
            <w:pPr>
              <w:ind w:left="243" w:hanging="243"/>
              <w:rPr>
                <w:bCs/>
                <w:sz w:val="20"/>
              </w:rPr>
            </w:pPr>
            <w:r w:rsidRPr="007A0591">
              <w:rPr>
                <w:bCs/>
                <w:sz w:val="20"/>
              </w:rPr>
              <w:t>8. To increase, decrease or stop deductions, changes must be communicated to FBMC via an SRA form. All changes will require written documentation to effect the change.</w:t>
            </w:r>
            <w:r>
              <w:rPr>
                <w:bCs/>
                <w:sz w:val="20"/>
              </w:rPr>
              <w:t xml:space="preserve"> </w:t>
            </w:r>
            <w:r w:rsidRPr="007A0591">
              <w:rPr>
                <w:bCs/>
                <w:sz w:val="20"/>
              </w:rPr>
              <w:t>Agency Payroll/Benefits Administrators must obtain authorization from FBMC prior to processing any requests for deduction refunds</w:t>
            </w:r>
            <w:r>
              <w:rPr>
                <w:bCs/>
                <w:sz w:val="20"/>
              </w:rPr>
              <w:t>.</w:t>
            </w:r>
          </w:p>
        </w:tc>
      </w:tr>
    </w:tbl>
    <w:p w14:paraId="7871E854" w14:textId="77777777" w:rsidR="0046241D" w:rsidRPr="00AC799B" w:rsidRDefault="0046241D" w:rsidP="0046241D">
      <w:pPr>
        <w:pBdr>
          <w:top w:val="single" w:sz="6" w:space="1" w:color="auto"/>
          <w:between w:val="single" w:sz="6" w:space="1" w:color="auto"/>
        </w:pBdr>
        <w:spacing w:before="120"/>
        <w:ind w:left="1699"/>
        <w:rPr>
          <w:b/>
          <w:sz w:val="16"/>
          <w:szCs w:val="16"/>
        </w:rPr>
      </w:pPr>
    </w:p>
    <w:p w14:paraId="7A50E5B8" w14:textId="77777777" w:rsidR="00487029" w:rsidRDefault="00487029">
      <w:pPr>
        <w:rPr>
          <w:b/>
          <w:szCs w:val="24"/>
        </w:rPr>
      </w:pPr>
      <w:r>
        <w:rPr>
          <w:b/>
          <w:szCs w:val="24"/>
        </w:rPr>
        <w:br w:type="page"/>
      </w:r>
    </w:p>
    <w:p w14:paraId="57CFE867" w14:textId="2CD6FA4B" w:rsidR="00AC799B" w:rsidRPr="00AC799B" w:rsidRDefault="00373143" w:rsidP="00AC799B">
      <w:pPr>
        <w:rPr>
          <w:b/>
          <w:szCs w:val="24"/>
        </w:rPr>
      </w:pPr>
      <w:bookmarkStart w:id="4" w:name="_Hlk183000377"/>
      <w:r>
        <w:rPr>
          <w:b/>
          <w:szCs w:val="24"/>
        </w:rPr>
        <w:lastRenderedPageBreak/>
        <w:t>Cardinal HCM Updates</w:t>
      </w:r>
    </w:p>
    <w:p w14:paraId="5E13AEDA" w14:textId="77777777" w:rsidR="00AC799B" w:rsidRPr="00AC799B" w:rsidRDefault="00AC799B" w:rsidP="00AC799B">
      <w:pPr>
        <w:pBdr>
          <w:top w:val="single" w:sz="6" w:space="1" w:color="auto"/>
          <w:between w:val="single" w:sz="6" w:space="1" w:color="auto"/>
        </w:pBdr>
        <w:spacing w:before="240"/>
        <w:ind w:left="1700"/>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AC799B" w14:paraId="727F2CAC" w14:textId="77777777" w:rsidTr="005623DA">
        <w:tc>
          <w:tcPr>
            <w:tcW w:w="1713" w:type="dxa"/>
            <w:tcMar>
              <w:top w:w="0" w:type="dxa"/>
              <w:left w:w="108" w:type="dxa"/>
              <w:bottom w:w="0" w:type="dxa"/>
              <w:right w:w="108" w:type="dxa"/>
            </w:tcMar>
          </w:tcPr>
          <w:bookmarkEnd w:id="4"/>
          <w:p w14:paraId="13210358" w14:textId="439C66EC" w:rsidR="00AC799B" w:rsidRPr="00AC799B" w:rsidRDefault="007F5012" w:rsidP="00A56643">
            <w:pPr>
              <w:rPr>
                <w:b/>
                <w:bCs/>
                <w:sz w:val="22"/>
                <w:szCs w:val="22"/>
              </w:rPr>
            </w:pPr>
            <w:r>
              <w:rPr>
                <w:b/>
                <w:bCs/>
                <w:sz w:val="22"/>
                <w:szCs w:val="22"/>
              </w:rPr>
              <w:t>Payroll Updates</w:t>
            </w:r>
          </w:p>
        </w:tc>
        <w:tc>
          <w:tcPr>
            <w:tcW w:w="9090" w:type="dxa"/>
            <w:tcMar>
              <w:left w:w="115" w:type="dxa"/>
              <w:right w:w="115" w:type="dxa"/>
            </w:tcMar>
          </w:tcPr>
          <w:p w14:paraId="14F2EAD8" w14:textId="77777777" w:rsidR="00373143" w:rsidRPr="00670F2B" w:rsidRDefault="00373143" w:rsidP="00373143">
            <w:pPr>
              <w:rPr>
                <w:sz w:val="20"/>
              </w:rPr>
            </w:pPr>
            <w:r w:rsidRPr="00670F2B">
              <w:rPr>
                <w:sz w:val="20"/>
              </w:rPr>
              <w:t>The following items were posted to the Cardinal website as part of the Cardinal HCM Payroll Updates during October</w:t>
            </w:r>
          </w:p>
          <w:p w14:paraId="46281B5D" w14:textId="77777777" w:rsidR="00373143" w:rsidRPr="00670F2B" w:rsidRDefault="00373143" w:rsidP="00373143">
            <w:pPr>
              <w:rPr>
                <w:sz w:val="20"/>
              </w:rPr>
            </w:pPr>
          </w:p>
          <w:p w14:paraId="0BAE8FC9" w14:textId="77777777" w:rsidR="00373143" w:rsidRPr="00670F2B" w:rsidRDefault="00373143" w:rsidP="00373143">
            <w:pPr>
              <w:pStyle w:val="ListParagraph"/>
              <w:numPr>
                <w:ilvl w:val="0"/>
                <w:numId w:val="21"/>
              </w:numPr>
              <w:contextualSpacing w:val="0"/>
              <w:rPr>
                <w:sz w:val="20"/>
              </w:rPr>
            </w:pPr>
            <w:r w:rsidRPr="00670F2B">
              <w:rPr>
                <w:sz w:val="20"/>
              </w:rPr>
              <w:t>Earnings Code job aid was updated – removed STL, added Shift 4 and Shift 5</w:t>
            </w:r>
          </w:p>
          <w:p w14:paraId="42CED30F" w14:textId="77777777" w:rsidR="00373143" w:rsidRPr="00670F2B" w:rsidRDefault="00373143" w:rsidP="00373143">
            <w:pPr>
              <w:pStyle w:val="ListParagraph"/>
              <w:numPr>
                <w:ilvl w:val="0"/>
                <w:numId w:val="21"/>
              </w:numPr>
              <w:contextualSpacing w:val="0"/>
              <w:rPr>
                <w:sz w:val="20"/>
              </w:rPr>
            </w:pPr>
            <w:r w:rsidRPr="00670F2B">
              <w:rPr>
                <w:sz w:val="20"/>
              </w:rPr>
              <w:t>COVA Error Listing Report</w:t>
            </w:r>
          </w:p>
          <w:p w14:paraId="1383B367" w14:textId="77777777" w:rsidR="00373143" w:rsidRPr="00670F2B" w:rsidRDefault="00373143" w:rsidP="00373143">
            <w:pPr>
              <w:pStyle w:val="ListParagraph"/>
              <w:numPr>
                <w:ilvl w:val="0"/>
                <w:numId w:val="21"/>
              </w:numPr>
              <w:contextualSpacing w:val="0"/>
              <w:rPr>
                <w:sz w:val="20"/>
              </w:rPr>
            </w:pPr>
            <w:r w:rsidRPr="00670F2B">
              <w:rPr>
                <w:sz w:val="20"/>
              </w:rPr>
              <w:t xml:space="preserve">Virginia Quarterly UI Report </w:t>
            </w:r>
          </w:p>
          <w:p w14:paraId="35149AB0" w14:textId="41BF6E93" w:rsidR="00AC799B" w:rsidRPr="00670F2B" w:rsidRDefault="00373143" w:rsidP="00FB7820">
            <w:pPr>
              <w:pStyle w:val="ListParagraph"/>
              <w:numPr>
                <w:ilvl w:val="0"/>
                <w:numId w:val="21"/>
              </w:numPr>
              <w:contextualSpacing w:val="0"/>
              <w:rPr>
                <w:sz w:val="20"/>
              </w:rPr>
            </w:pPr>
            <w:r w:rsidRPr="00670F2B">
              <w:rPr>
                <w:sz w:val="20"/>
              </w:rPr>
              <w:t>Payroll Quarterly Statistics Query added on 10/22/24</w:t>
            </w:r>
          </w:p>
        </w:tc>
      </w:tr>
    </w:tbl>
    <w:p w14:paraId="5E3A0545" w14:textId="77777777" w:rsidR="00A839F0" w:rsidRDefault="00A839F0" w:rsidP="00A839F0">
      <w:pPr>
        <w:pBdr>
          <w:top w:val="single" w:sz="6" w:space="1" w:color="auto"/>
          <w:between w:val="single" w:sz="6" w:space="1" w:color="auto"/>
        </w:pBdr>
        <w:spacing w:before="120"/>
        <w:ind w:left="1699"/>
        <w:jc w:val="both"/>
        <w:rPr>
          <w:b/>
          <w:sz w:val="16"/>
          <w:szCs w:val="16"/>
        </w:rPr>
      </w:pPr>
    </w:p>
    <w:p w14:paraId="098D432D" w14:textId="7901A1C3" w:rsidR="00A839F0" w:rsidRPr="00AC799B" w:rsidRDefault="00FD3E27" w:rsidP="00A839F0">
      <w:pPr>
        <w:rPr>
          <w:b/>
          <w:szCs w:val="24"/>
        </w:rPr>
      </w:pPr>
      <w:r>
        <w:rPr>
          <w:b/>
          <w:szCs w:val="24"/>
        </w:rPr>
        <w:t>COV 457 Automatic Enrollment</w:t>
      </w:r>
    </w:p>
    <w:p w14:paraId="0B56C861" w14:textId="77777777" w:rsidR="00A839F0" w:rsidRPr="00AC799B" w:rsidRDefault="00A839F0" w:rsidP="00A839F0">
      <w:pPr>
        <w:pBdr>
          <w:top w:val="single" w:sz="6" w:space="1" w:color="auto"/>
          <w:between w:val="single" w:sz="6" w:space="1" w:color="auto"/>
        </w:pBdr>
        <w:spacing w:before="240"/>
        <w:ind w:left="1700"/>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334F68" w14:paraId="19E1D1CD" w14:textId="77777777" w:rsidTr="005623DA">
        <w:tc>
          <w:tcPr>
            <w:tcW w:w="1713" w:type="dxa"/>
            <w:tcMar>
              <w:top w:w="0" w:type="dxa"/>
              <w:left w:w="108" w:type="dxa"/>
              <w:bottom w:w="0" w:type="dxa"/>
              <w:right w:w="108" w:type="dxa"/>
            </w:tcMar>
          </w:tcPr>
          <w:p w14:paraId="43546653" w14:textId="2D5AB94E" w:rsidR="00AC799B" w:rsidRPr="00334F68" w:rsidRDefault="00FD3E27" w:rsidP="00A56643">
            <w:pPr>
              <w:rPr>
                <w:b/>
                <w:bCs/>
                <w:sz w:val="22"/>
                <w:szCs w:val="22"/>
              </w:rPr>
            </w:pPr>
            <w:r>
              <w:rPr>
                <w:b/>
                <w:bCs/>
                <w:sz w:val="22"/>
                <w:szCs w:val="22"/>
              </w:rPr>
              <w:t>Effective 1/1/2025</w:t>
            </w:r>
          </w:p>
        </w:tc>
        <w:tc>
          <w:tcPr>
            <w:tcW w:w="9090" w:type="dxa"/>
            <w:tcMar>
              <w:left w:w="115" w:type="dxa"/>
              <w:right w:w="115" w:type="dxa"/>
            </w:tcMar>
          </w:tcPr>
          <w:p w14:paraId="5DCAA130" w14:textId="77777777" w:rsidR="00A839F0" w:rsidRPr="00A839F0" w:rsidRDefault="00A839F0" w:rsidP="00A839F0">
            <w:pPr>
              <w:rPr>
                <w:rFonts w:eastAsia="Aptos"/>
                <w:sz w:val="20"/>
              </w:rPr>
            </w:pPr>
            <w:r w:rsidRPr="00A839F0">
              <w:rPr>
                <w:rFonts w:eastAsia="Aptos"/>
                <w:sz w:val="20"/>
              </w:rPr>
              <w:t>VRS is simplifying the criteria used to determine eligibility for automatic enrollment (AE) into the Commonwealth of Virginia 457 Deferred Compensation Plan (COV 457). Effective January 1, 2025, with the transition to Voya Financial as the new DCP recordkeeper, AE logic will no longer consider presence of a balance in the COV 457 or break-in-service between two AE-eligible employers when determining eligibility. There is no change to the opt-out process, and enrollment in a 403(b) prior to automatic enrollment will stop the AE process.</w:t>
            </w:r>
          </w:p>
          <w:p w14:paraId="41968548" w14:textId="77777777" w:rsidR="00A839F0" w:rsidRPr="00A839F0" w:rsidRDefault="00A839F0" w:rsidP="00A839F0">
            <w:pPr>
              <w:rPr>
                <w:rFonts w:eastAsia="Aptos"/>
                <w:sz w:val="20"/>
              </w:rPr>
            </w:pPr>
          </w:p>
          <w:p w14:paraId="4683E2A3" w14:textId="77777777" w:rsidR="00A839F0" w:rsidRPr="00A839F0" w:rsidRDefault="00A839F0" w:rsidP="00A839F0">
            <w:pPr>
              <w:rPr>
                <w:rFonts w:eastAsia="Aptos"/>
                <w:sz w:val="20"/>
              </w:rPr>
            </w:pPr>
            <w:r w:rsidRPr="00A839F0">
              <w:rPr>
                <w:rFonts w:eastAsia="Aptos"/>
                <w:sz w:val="20"/>
              </w:rPr>
              <w:t>Criteria Effective 1/1/2025:</w:t>
            </w:r>
          </w:p>
          <w:p w14:paraId="4C9A6BFE" w14:textId="77777777" w:rsidR="00A839F0" w:rsidRPr="00A839F0" w:rsidRDefault="00A839F0" w:rsidP="00A839F0">
            <w:pPr>
              <w:numPr>
                <w:ilvl w:val="0"/>
                <w:numId w:val="22"/>
              </w:numPr>
              <w:rPr>
                <w:sz w:val="20"/>
              </w:rPr>
            </w:pPr>
            <w:r w:rsidRPr="00A839F0">
              <w:rPr>
                <w:sz w:val="20"/>
              </w:rPr>
              <w:t>Automatically enrolled in COV 457 90-days after hire date in a non-hybrid-covered position. ​</w:t>
            </w:r>
          </w:p>
          <w:p w14:paraId="5B2DD4E0" w14:textId="77777777" w:rsidR="00A839F0" w:rsidRPr="00A839F0" w:rsidRDefault="00A839F0" w:rsidP="00A839F0">
            <w:pPr>
              <w:numPr>
                <w:ilvl w:val="0"/>
                <w:numId w:val="22"/>
              </w:numPr>
              <w:rPr>
                <w:sz w:val="20"/>
              </w:rPr>
            </w:pPr>
            <w:r w:rsidRPr="00A839F0">
              <w:rPr>
                <w:sz w:val="20"/>
              </w:rPr>
              <w:t xml:space="preserve">Clock starts over with every new instance of employment, including changes between state employers regardless of break-in-service or previous balance in the COV 457 Plan.   </w:t>
            </w:r>
          </w:p>
          <w:p w14:paraId="084C7AE8" w14:textId="77777777" w:rsidR="00A839F0" w:rsidRPr="00A839F0" w:rsidRDefault="00A839F0" w:rsidP="00A839F0">
            <w:pPr>
              <w:numPr>
                <w:ilvl w:val="0"/>
                <w:numId w:val="22"/>
              </w:numPr>
              <w:rPr>
                <w:sz w:val="20"/>
              </w:rPr>
            </w:pPr>
            <w:r w:rsidRPr="00A839F0">
              <w:rPr>
                <w:sz w:val="20"/>
              </w:rPr>
              <w:t>No enrollment in a 403(b) plan prior to automatic enrollment. ​</w:t>
            </w:r>
          </w:p>
          <w:p w14:paraId="7913CE79" w14:textId="77777777" w:rsidR="00A839F0" w:rsidRPr="00A839F0" w:rsidRDefault="00A839F0" w:rsidP="00A839F0">
            <w:pPr>
              <w:numPr>
                <w:ilvl w:val="0"/>
                <w:numId w:val="22"/>
              </w:numPr>
              <w:rPr>
                <w:sz w:val="20"/>
              </w:rPr>
            </w:pPr>
            <w:r w:rsidRPr="00A839F0">
              <w:rPr>
                <w:sz w:val="20"/>
              </w:rPr>
              <w:t>Employee may opt-out of automatic enrollment during the 90 days following the effective date of the automatic enrollment and request a withdrawal of contributions. Any cash match is forfeited.​</w:t>
            </w:r>
          </w:p>
          <w:p w14:paraId="07E50101" w14:textId="77777777" w:rsidR="00A839F0" w:rsidRPr="00A839F0" w:rsidRDefault="00A839F0" w:rsidP="00A839F0">
            <w:pPr>
              <w:rPr>
                <w:rFonts w:eastAsia="Aptos"/>
                <w:sz w:val="20"/>
              </w:rPr>
            </w:pPr>
          </w:p>
          <w:p w14:paraId="3522FA1C" w14:textId="7BEECA65" w:rsidR="00AC799B" w:rsidRPr="00A839F0" w:rsidRDefault="00A839F0" w:rsidP="00C755D1">
            <w:pPr>
              <w:rPr>
                <w:sz w:val="20"/>
              </w:rPr>
            </w:pPr>
            <w:r w:rsidRPr="00A839F0">
              <w:rPr>
                <w:rFonts w:eastAsia="Aptos"/>
                <w:sz w:val="20"/>
              </w:rPr>
              <w:t>These changes will simplify programming and communications and reduce the potential for errors.</w:t>
            </w:r>
          </w:p>
        </w:tc>
      </w:tr>
    </w:tbl>
    <w:p w14:paraId="79A0374B" w14:textId="77777777" w:rsidR="00C755D1" w:rsidRPr="00AC799B" w:rsidRDefault="00C755D1" w:rsidP="00C755D1">
      <w:pPr>
        <w:pBdr>
          <w:top w:val="single" w:sz="6" w:space="1" w:color="auto"/>
          <w:between w:val="single" w:sz="6" w:space="1" w:color="auto"/>
        </w:pBdr>
        <w:spacing w:before="240"/>
        <w:ind w:left="1700"/>
        <w:rPr>
          <w:b/>
          <w:sz w:val="16"/>
          <w:szCs w:val="16"/>
        </w:rPr>
      </w:pPr>
    </w:p>
    <w:p w14:paraId="6877AAA2" w14:textId="73264B3B" w:rsidR="00E70997" w:rsidRDefault="00E70997" w:rsidP="00E70997">
      <w:pPr>
        <w:rPr>
          <w:b/>
          <w:szCs w:val="24"/>
        </w:rPr>
      </w:pPr>
    </w:p>
    <w:sectPr w:rsidR="00E70997" w:rsidSect="00D116F1">
      <w:headerReference w:type="even" r:id="rId9"/>
      <w:headerReference w:type="default" r:id="rId10"/>
      <w:footerReference w:type="even" r:id="rId11"/>
      <w:footerReference w:type="default" r:id="rId12"/>
      <w:pgSz w:w="12240" w:h="15840" w:code="1"/>
      <w:pgMar w:top="360" w:right="720" w:bottom="90" w:left="720" w:header="288" w:footer="16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A27E6" w14:textId="77777777" w:rsidR="0076424B" w:rsidRDefault="0076424B" w:rsidP="007C617C">
      <w:pPr>
        <w:pStyle w:val="TableText"/>
      </w:pPr>
      <w:r>
        <w:separator/>
      </w:r>
    </w:p>
  </w:endnote>
  <w:endnote w:type="continuationSeparator" w:id="0">
    <w:p w14:paraId="6C7A65EC" w14:textId="77777777" w:rsidR="0076424B" w:rsidRDefault="0076424B" w:rsidP="007C617C">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E4BD" w14:textId="77777777" w:rsidR="001F28B6" w:rsidRDefault="001F28B6">
    <w:pPr>
      <w:pStyle w:val="Footer"/>
      <w:framePr w:wrap="around" w:vAnchor="text" w:hAnchor="margin" w:xAlign="outside" w:y="1"/>
    </w:pPr>
    <w:r>
      <w:fldChar w:fldCharType="begin"/>
    </w:r>
    <w:r>
      <w:instrText xml:space="preserve">PAGE  </w:instrText>
    </w:r>
    <w:r>
      <w:fldChar w:fldCharType="end"/>
    </w:r>
  </w:p>
  <w:p w14:paraId="0B22F138" w14:textId="77777777" w:rsidR="001F28B6" w:rsidRDefault="001F28B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0FAD" w14:textId="77777777" w:rsidR="001F28B6" w:rsidRPr="00D116F1" w:rsidRDefault="001F28B6" w:rsidP="00D116F1">
    <w:pPr>
      <w:pBdr>
        <w:top w:val="single" w:sz="6" w:space="0" w:color="auto"/>
      </w:pBdr>
      <w:tabs>
        <w:tab w:val="left" w:pos="5940"/>
      </w:tabs>
      <w:ind w:right="-414"/>
      <w:jc w:val="center"/>
      <w:rPr>
        <w:rFonts w:ascii="Verdana" w:hAnsi="Verdana"/>
        <w:i/>
        <w:snapToGrid w:val="0"/>
        <w:sz w:val="20"/>
      </w:rPr>
    </w:pPr>
    <w:r>
      <w:rPr>
        <w:snapToGrid w:val="0"/>
        <w:sz w:val="20"/>
      </w:rPr>
      <w:t xml:space="preserve">Page </w:t>
    </w:r>
    <w:r>
      <w:rPr>
        <w:snapToGrid w:val="0"/>
        <w:sz w:val="20"/>
      </w:rPr>
      <w:fldChar w:fldCharType="begin"/>
    </w:r>
    <w:r>
      <w:rPr>
        <w:snapToGrid w:val="0"/>
        <w:sz w:val="20"/>
      </w:rPr>
      <w:instrText xml:space="preserve"> PAGE  \* Arabic  \* MERGEFORMAT </w:instrText>
    </w:r>
    <w:r>
      <w:rPr>
        <w:snapToGrid w:val="0"/>
        <w:sz w:val="20"/>
      </w:rPr>
      <w:fldChar w:fldCharType="separate"/>
    </w:r>
    <w:r w:rsidR="006C47F5">
      <w:rPr>
        <w:noProof/>
        <w:snapToGrid w:val="0"/>
        <w:sz w:val="20"/>
      </w:rPr>
      <w:t>8</w:t>
    </w:r>
    <w:r>
      <w:rPr>
        <w:snapToGrid w:val="0"/>
        <w:sz w:val="20"/>
      </w:rPr>
      <w:fldChar w:fldCharType="end"/>
    </w:r>
  </w:p>
  <w:p w14:paraId="2EF054BD" w14:textId="77777777" w:rsidR="001F28B6" w:rsidRPr="0014790A" w:rsidRDefault="00670F2B" w:rsidP="005D21AF">
    <w:pPr>
      <w:pStyle w:val="NormalWeb"/>
      <w:jc w:val="center"/>
      <w:rPr>
        <w:i/>
        <w:snapToGrid w:val="0"/>
        <w:sz w:val="20"/>
        <w:szCs w:val="20"/>
      </w:rPr>
    </w:pPr>
    <w:hyperlink r:id="rId1" w:tooltip="http://www.doa.virginia.gov/Payroll/Payroll_Bulletins/Payroll_Bulletins_Main.cfm" w:history="1">
      <w:r w:rsidR="001F28B6" w:rsidRPr="0014790A">
        <w:rPr>
          <w:rStyle w:val="Hyperlink"/>
          <w:i/>
          <w:iCs/>
          <w:snapToGrid w:val="0"/>
          <w:color w:val="auto"/>
          <w:sz w:val="20"/>
          <w:szCs w:val="20"/>
        </w:rPr>
        <w:t>http://www.doa.virginia.gov/Payroll/Payroll_Bulletins/Payroll_Bulletins_Main.cfm</w:t>
      </w:r>
    </w:hyperlink>
  </w:p>
  <w:p w14:paraId="54EF97EC" w14:textId="77777777" w:rsidR="001F28B6" w:rsidRDefault="001F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8A147" w14:textId="77777777" w:rsidR="0076424B" w:rsidRDefault="0076424B" w:rsidP="007C617C">
      <w:pPr>
        <w:pStyle w:val="TableText"/>
      </w:pPr>
      <w:r>
        <w:separator/>
      </w:r>
    </w:p>
  </w:footnote>
  <w:footnote w:type="continuationSeparator" w:id="0">
    <w:p w14:paraId="5849B190" w14:textId="77777777" w:rsidR="0076424B" w:rsidRDefault="0076424B" w:rsidP="007C617C">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6F5C" w14:textId="77777777" w:rsidR="001F28B6" w:rsidRDefault="001F2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8D405" w14:textId="77777777" w:rsidR="001F28B6" w:rsidRDefault="001F2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5672" w14:textId="77777777" w:rsidR="001F28B6" w:rsidRDefault="001F28B6">
    <w:pPr>
      <w:pStyle w:val="Header"/>
    </w:pPr>
  </w:p>
  <w:tbl>
    <w:tblPr>
      <w:tblW w:w="10800" w:type="dxa"/>
      <w:tblLayout w:type="fixed"/>
      <w:tblLook w:val="0000" w:firstRow="0" w:lastRow="0" w:firstColumn="0" w:lastColumn="0" w:noHBand="0" w:noVBand="0"/>
    </w:tblPr>
    <w:tblGrid>
      <w:gridCol w:w="3366"/>
      <w:gridCol w:w="3366"/>
      <w:gridCol w:w="4068"/>
    </w:tblGrid>
    <w:tr w:rsidR="001F28B6" w14:paraId="73733DF1" w14:textId="77777777" w:rsidTr="008411C2">
      <w:trPr>
        <w:cantSplit/>
      </w:trPr>
      <w:tc>
        <w:tcPr>
          <w:tcW w:w="3366" w:type="dxa"/>
          <w:tcBorders>
            <w:bottom w:val="double" w:sz="6" w:space="0" w:color="auto"/>
          </w:tcBorders>
        </w:tcPr>
        <w:p w14:paraId="711C363E" w14:textId="3BEF82FE" w:rsidR="001F28B6" w:rsidRDefault="001F28B6" w:rsidP="006C2E6C">
          <w:pPr>
            <w:pStyle w:val="Header"/>
            <w:rPr>
              <w:b/>
              <w:sz w:val="20"/>
            </w:rPr>
          </w:pPr>
          <w:r>
            <w:rPr>
              <w:b/>
              <w:sz w:val="20"/>
            </w:rPr>
            <w:t xml:space="preserve">Calendar Year </w:t>
          </w:r>
          <w:r w:rsidR="003F1980">
            <w:rPr>
              <w:b/>
              <w:sz w:val="20"/>
            </w:rPr>
            <w:t>202</w:t>
          </w:r>
          <w:r w:rsidR="00B46AEB">
            <w:rPr>
              <w:b/>
              <w:sz w:val="20"/>
            </w:rPr>
            <w:t>4</w:t>
          </w:r>
        </w:p>
      </w:tc>
      <w:tc>
        <w:tcPr>
          <w:tcW w:w="3366" w:type="dxa"/>
          <w:tcBorders>
            <w:bottom w:val="double" w:sz="6" w:space="0" w:color="auto"/>
          </w:tcBorders>
        </w:tcPr>
        <w:p w14:paraId="6259D8C4" w14:textId="53EF84FF" w:rsidR="001F28B6" w:rsidRDefault="004E341F" w:rsidP="00BF7A44">
          <w:pPr>
            <w:pStyle w:val="Header"/>
            <w:jc w:val="center"/>
            <w:rPr>
              <w:b/>
              <w:sz w:val="20"/>
            </w:rPr>
          </w:pPr>
          <w:r>
            <w:rPr>
              <w:b/>
              <w:sz w:val="20"/>
            </w:rPr>
            <w:t>November 20</w:t>
          </w:r>
          <w:r w:rsidR="00EF0D25">
            <w:rPr>
              <w:b/>
              <w:sz w:val="20"/>
            </w:rPr>
            <w:t>, 2024</w:t>
          </w:r>
        </w:p>
      </w:tc>
      <w:tc>
        <w:tcPr>
          <w:tcW w:w="4068" w:type="dxa"/>
          <w:tcBorders>
            <w:bottom w:val="double" w:sz="6" w:space="0" w:color="auto"/>
          </w:tcBorders>
        </w:tcPr>
        <w:p w14:paraId="2BDDB4F1" w14:textId="6576340A" w:rsidR="001F28B6" w:rsidRDefault="001F28B6" w:rsidP="00383489">
          <w:pPr>
            <w:pStyle w:val="Header"/>
            <w:jc w:val="right"/>
            <w:rPr>
              <w:b/>
              <w:sz w:val="20"/>
            </w:rPr>
          </w:pPr>
          <w:r>
            <w:rPr>
              <w:b/>
              <w:sz w:val="20"/>
            </w:rPr>
            <w:t>Volume #</w:t>
          </w:r>
          <w:r w:rsidR="003F1980">
            <w:rPr>
              <w:b/>
              <w:sz w:val="20"/>
            </w:rPr>
            <w:t>202</w:t>
          </w:r>
          <w:r w:rsidR="00B46AEB">
            <w:rPr>
              <w:b/>
              <w:sz w:val="20"/>
            </w:rPr>
            <w:t>4</w:t>
          </w:r>
          <w:r>
            <w:rPr>
              <w:b/>
              <w:sz w:val="20"/>
            </w:rPr>
            <w:t>-</w:t>
          </w:r>
          <w:r w:rsidR="00EF0D25">
            <w:rPr>
              <w:b/>
              <w:sz w:val="20"/>
            </w:rPr>
            <w:t>1</w:t>
          </w:r>
          <w:r w:rsidR="003D0089">
            <w:rPr>
              <w:b/>
              <w:sz w:val="20"/>
            </w:rPr>
            <w:t>3</w:t>
          </w:r>
        </w:p>
      </w:tc>
    </w:tr>
  </w:tbl>
  <w:p w14:paraId="271C2FD4" w14:textId="77777777" w:rsidR="001F28B6" w:rsidRDefault="001F2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68E"/>
    <w:multiLevelType w:val="hybridMultilevel"/>
    <w:tmpl w:val="5C5C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6563"/>
    <w:multiLevelType w:val="hybridMultilevel"/>
    <w:tmpl w:val="91722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31E43"/>
    <w:multiLevelType w:val="hybridMultilevel"/>
    <w:tmpl w:val="2E46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F1F44"/>
    <w:multiLevelType w:val="hybridMultilevel"/>
    <w:tmpl w:val="53A41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17D83"/>
    <w:multiLevelType w:val="hybridMultilevel"/>
    <w:tmpl w:val="9876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66AF8"/>
    <w:multiLevelType w:val="hybridMultilevel"/>
    <w:tmpl w:val="FFC0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31330"/>
    <w:multiLevelType w:val="hybridMultilevel"/>
    <w:tmpl w:val="B10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F42AD"/>
    <w:multiLevelType w:val="hybridMultilevel"/>
    <w:tmpl w:val="6CBCC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4A2EDD"/>
    <w:multiLevelType w:val="hybridMultilevel"/>
    <w:tmpl w:val="C6EA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0145B"/>
    <w:multiLevelType w:val="hybridMultilevel"/>
    <w:tmpl w:val="1BB0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E73A9"/>
    <w:multiLevelType w:val="hybridMultilevel"/>
    <w:tmpl w:val="B76E6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56ACE"/>
    <w:multiLevelType w:val="hybridMultilevel"/>
    <w:tmpl w:val="40903C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26D72"/>
    <w:multiLevelType w:val="hybridMultilevel"/>
    <w:tmpl w:val="EEC8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F2CCC"/>
    <w:multiLevelType w:val="hybridMultilevel"/>
    <w:tmpl w:val="A11E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41950"/>
    <w:multiLevelType w:val="hybridMultilevel"/>
    <w:tmpl w:val="6D084EAE"/>
    <w:lvl w:ilvl="0" w:tplc="236C5492">
      <w:start w:val="1"/>
      <w:numFmt w:val="bullet"/>
      <w:lvlText w:val=""/>
      <w:lvlJc w:val="left"/>
      <w:pPr>
        <w:ind w:left="1440" w:hanging="108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469AC"/>
    <w:multiLevelType w:val="hybridMultilevel"/>
    <w:tmpl w:val="7876B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82ECE"/>
    <w:multiLevelType w:val="hybridMultilevel"/>
    <w:tmpl w:val="6B62F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4322CE"/>
    <w:multiLevelType w:val="hybridMultilevel"/>
    <w:tmpl w:val="EE92D78A"/>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36F1A19"/>
    <w:multiLevelType w:val="hybridMultilevel"/>
    <w:tmpl w:val="D52E0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F867CD"/>
    <w:multiLevelType w:val="hybridMultilevel"/>
    <w:tmpl w:val="D1FA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B7CF9"/>
    <w:multiLevelType w:val="hybridMultilevel"/>
    <w:tmpl w:val="61406D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E81389"/>
    <w:multiLevelType w:val="hybridMultilevel"/>
    <w:tmpl w:val="4E06B140"/>
    <w:lvl w:ilvl="0" w:tplc="92880722">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671866">
    <w:abstractNumId w:val="17"/>
  </w:num>
  <w:num w:numId="2" w16cid:durableId="1844928692">
    <w:abstractNumId w:val="21"/>
  </w:num>
  <w:num w:numId="3" w16cid:durableId="1355571706">
    <w:abstractNumId w:val="5"/>
  </w:num>
  <w:num w:numId="4" w16cid:durableId="2029136315">
    <w:abstractNumId w:val="2"/>
  </w:num>
  <w:num w:numId="5" w16cid:durableId="875430157">
    <w:abstractNumId w:val="1"/>
  </w:num>
  <w:num w:numId="6" w16cid:durableId="252009002">
    <w:abstractNumId w:val="15"/>
  </w:num>
  <w:num w:numId="7" w16cid:durableId="305817450">
    <w:abstractNumId w:val="3"/>
  </w:num>
  <w:num w:numId="8" w16cid:durableId="943804764">
    <w:abstractNumId w:val="0"/>
  </w:num>
  <w:num w:numId="9" w16cid:durableId="1735662597">
    <w:abstractNumId w:val="6"/>
  </w:num>
  <w:num w:numId="10" w16cid:durableId="1210530897">
    <w:abstractNumId w:val="8"/>
  </w:num>
  <w:num w:numId="11" w16cid:durableId="866794962">
    <w:abstractNumId w:val="20"/>
  </w:num>
  <w:num w:numId="12" w16cid:durableId="1533567520">
    <w:abstractNumId w:val="12"/>
  </w:num>
  <w:num w:numId="13" w16cid:durableId="1676762077">
    <w:abstractNumId w:val="16"/>
  </w:num>
  <w:num w:numId="14" w16cid:durableId="1974216503">
    <w:abstractNumId w:val="9"/>
  </w:num>
  <w:num w:numId="15" w16cid:durableId="1032417369">
    <w:abstractNumId w:val="14"/>
  </w:num>
  <w:num w:numId="16" w16cid:durableId="1852261781">
    <w:abstractNumId w:val="4"/>
  </w:num>
  <w:num w:numId="17" w16cid:durableId="862747850">
    <w:abstractNumId w:val="10"/>
  </w:num>
  <w:num w:numId="18" w16cid:durableId="272711361">
    <w:abstractNumId w:val="11"/>
  </w:num>
  <w:num w:numId="19" w16cid:durableId="399863307">
    <w:abstractNumId w:val="19"/>
  </w:num>
  <w:num w:numId="20" w16cid:durableId="1387223697">
    <w:abstractNumId w:val="13"/>
  </w:num>
  <w:num w:numId="21" w16cid:durableId="316619624">
    <w:abstractNumId w:val="7"/>
  </w:num>
  <w:num w:numId="22" w16cid:durableId="1542673094">
    <w:abstractNumId w:val="18"/>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54"/>
    <w:rsid w:val="00001CE4"/>
    <w:rsid w:val="00003B77"/>
    <w:rsid w:val="000044D4"/>
    <w:rsid w:val="00004752"/>
    <w:rsid w:val="00004CD3"/>
    <w:rsid w:val="00004DB9"/>
    <w:rsid w:val="0000504A"/>
    <w:rsid w:val="000058C8"/>
    <w:rsid w:val="00005928"/>
    <w:rsid w:val="000061FB"/>
    <w:rsid w:val="00006E2E"/>
    <w:rsid w:val="00007223"/>
    <w:rsid w:val="0001215C"/>
    <w:rsid w:val="000121C0"/>
    <w:rsid w:val="00015008"/>
    <w:rsid w:val="00015231"/>
    <w:rsid w:val="00016EE3"/>
    <w:rsid w:val="0001760B"/>
    <w:rsid w:val="00020AC4"/>
    <w:rsid w:val="00022E7D"/>
    <w:rsid w:val="00023C30"/>
    <w:rsid w:val="00025B28"/>
    <w:rsid w:val="00025C86"/>
    <w:rsid w:val="000311C2"/>
    <w:rsid w:val="00031858"/>
    <w:rsid w:val="00031A8E"/>
    <w:rsid w:val="00031C2F"/>
    <w:rsid w:val="000325BD"/>
    <w:rsid w:val="0003301F"/>
    <w:rsid w:val="00034850"/>
    <w:rsid w:val="00034A69"/>
    <w:rsid w:val="00034ABB"/>
    <w:rsid w:val="00035044"/>
    <w:rsid w:val="00035F57"/>
    <w:rsid w:val="00036282"/>
    <w:rsid w:val="00037DBA"/>
    <w:rsid w:val="00041B60"/>
    <w:rsid w:val="00041FEB"/>
    <w:rsid w:val="000426F3"/>
    <w:rsid w:val="00043017"/>
    <w:rsid w:val="00043C21"/>
    <w:rsid w:val="0004536D"/>
    <w:rsid w:val="00046661"/>
    <w:rsid w:val="00046B8C"/>
    <w:rsid w:val="00046DE9"/>
    <w:rsid w:val="00047732"/>
    <w:rsid w:val="00050CC7"/>
    <w:rsid w:val="00055290"/>
    <w:rsid w:val="0005668B"/>
    <w:rsid w:val="000575E6"/>
    <w:rsid w:val="00057C63"/>
    <w:rsid w:val="00060B26"/>
    <w:rsid w:val="00062288"/>
    <w:rsid w:val="00062A6C"/>
    <w:rsid w:val="00063B39"/>
    <w:rsid w:val="00063FB9"/>
    <w:rsid w:val="0006780E"/>
    <w:rsid w:val="00070458"/>
    <w:rsid w:val="00071EB0"/>
    <w:rsid w:val="000722EF"/>
    <w:rsid w:val="00072D1A"/>
    <w:rsid w:val="000736C4"/>
    <w:rsid w:val="00073D12"/>
    <w:rsid w:val="0007403B"/>
    <w:rsid w:val="00074937"/>
    <w:rsid w:val="0007606F"/>
    <w:rsid w:val="00077EAB"/>
    <w:rsid w:val="00080B1F"/>
    <w:rsid w:val="00081CDD"/>
    <w:rsid w:val="0008551E"/>
    <w:rsid w:val="000860EA"/>
    <w:rsid w:val="000868C7"/>
    <w:rsid w:val="00086DA9"/>
    <w:rsid w:val="00086DEB"/>
    <w:rsid w:val="00087B54"/>
    <w:rsid w:val="00091301"/>
    <w:rsid w:val="0009611F"/>
    <w:rsid w:val="00097363"/>
    <w:rsid w:val="000A1457"/>
    <w:rsid w:val="000A1B5C"/>
    <w:rsid w:val="000A32EE"/>
    <w:rsid w:val="000A4F9D"/>
    <w:rsid w:val="000A5D83"/>
    <w:rsid w:val="000A634A"/>
    <w:rsid w:val="000A7A20"/>
    <w:rsid w:val="000B0BE5"/>
    <w:rsid w:val="000B3A75"/>
    <w:rsid w:val="000B46F3"/>
    <w:rsid w:val="000B4D3B"/>
    <w:rsid w:val="000B598B"/>
    <w:rsid w:val="000B7BE3"/>
    <w:rsid w:val="000C23BF"/>
    <w:rsid w:val="000C2566"/>
    <w:rsid w:val="000C44E0"/>
    <w:rsid w:val="000C62B0"/>
    <w:rsid w:val="000C67E6"/>
    <w:rsid w:val="000C6E4C"/>
    <w:rsid w:val="000C7D97"/>
    <w:rsid w:val="000C7E02"/>
    <w:rsid w:val="000D0685"/>
    <w:rsid w:val="000D2A08"/>
    <w:rsid w:val="000D2CE5"/>
    <w:rsid w:val="000D3410"/>
    <w:rsid w:val="000D3694"/>
    <w:rsid w:val="000D4600"/>
    <w:rsid w:val="000D47F3"/>
    <w:rsid w:val="000D5060"/>
    <w:rsid w:val="000D59EF"/>
    <w:rsid w:val="000D666D"/>
    <w:rsid w:val="000D7AC2"/>
    <w:rsid w:val="000E0C56"/>
    <w:rsid w:val="000E1301"/>
    <w:rsid w:val="000E1869"/>
    <w:rsid w:val="000E1D04"/>
    <w:rsid w:val="000E3103"/>
    <w:rsid w:val="000E3A25"/>
    <w:rsid w:val="000E404F"/>
    <w:rsid w:val="000E537F"/>
    <w:rsid w:val="000E5838"/>
    <w:rsid w:val="000E68B8"/>
    <w:rsid w:val="000E7BB1"/>
    <w:rsid w:val="000E7D70"/>
    <w:rsid w:val="000F0117"/>
    <w:rsid w:val="000F0D6F"/>
    <w:rsid w:val="000F113D"/>
    <w:rsid w:val="000F187B"/>
    <w:rsid w:val="000F22DC"/>
    <w:rsid w:val="000F2D58"/>
    <w:rsid w:val="000F3786"/>
    <w:rsid w:val="000F3E48"/>
    <w:rsid w:val="000F6A8F"/>
    <w:rsid w:val="000F7EA6"/>
    <w:rsid w:val="00100D13"/>
    <w:rsid w:val="001062AE"/>
    <w:rsid w:val="0010670B"/>
    <w:rsid w:val="00115C5B"/>
    <w:rsid w:val="00115E10"/>
    <w:rsid w:val="00117B7F"/>
    <w:rsid w:val="0012199B"/>
    <w:rsid w:val="001219C0"/>
    <w:rsid w:val="00121B17"/>
    <w:rsid w:val="00121D11"/>
    <w:rsid w:val="0012263B"/>
    <w:rsid w:val="001226FF"/>
    <w:rsid w:val="00123E43"/>
    <w:rsid w:val="00124944"/>
    <w:rsid w:val="001250AB"/>
    <w:rsid w:val="00125110"/>
    <w:rsid w:val="0012577F"/>
    <w:rsid w:val="001258D0"/>
    <w:rsid w:val="00125C84"/>
    <w:rsid w:val="00127A7B"/>
    <w:rsid w:val="00130A1B"/>
    <w:rsid w:val="00130FAB"/>
    <w:rsid w:val="0013114F"/>
    <w:rsid w:val="00131DF6"/>
    <w:rsid w:val="00132AB8"/>
    <w:rsid w:val="001356F4"/>
    <w:rsid w:val="00135F2B"/>
    <w:rsid w:val="00136A70"/>
    <w:rsid w:val="00141255"/>
    <w:rsid w:val="001418A6"/>
    <w:rsid w:val="00141BFF"/>
    <w:rsid w:val="001421DE"/>
    <w:rsid w:val="00143DFD"/>
    <w:rsid w:val="0014486F"/>
    <w:rsid w:val="0014590C"/>
    <w:rsid w:val="00145DCD"/>
    <w:rsid w:val="00145FA6"/>
    <w:rsid w:val="00146FDC"/>
    <w:rsid w:val="001470AB"/>
    <w:rsid w:val="00147115"/>
    <w:rsid w:val="00150108"/>
    <w:rsid w:val="00150BA8"/>
    <w:rsid w:val="001514CE"/>
    <w:rsid w:val="00151D7E"/>
    <w:rsid w:val="001522AD"/>
    <w:rsid w:val="001524A6"/>
    <w:rsid w:val="001532E5"/>
    <w:rsid w:val="00156786"/>
    <w:rsid w:val="0016085E"/>
    <w:rsid w:val="00160C93"/>
    <w:rsid w:val="00162130"/>
    <w:rsid w:val="00162A21"/>
    <w:rsid w:val="001631B5"/>
    <w:rsid w:val="0016577E"/>
    <w:rsid w:val="00166056"/>
    <w:rsid w:val="001661AD"/>
    <w:rsid w:val="001671C7"/>
    <w:rsid w:val="001701E1"/>
    <w:rsid w:val="001711AD"/>
    <w:rsid w:val="00172BF3"/>
    <w:rsid w:val="00173C76"/>
    <w:rsid w:val="00173D28"/>
    <w:rsid w:val="001758B4"/>
    <w:rsid w:val="00177CAF"/>
    <w:rsid w:val="00180B5E"/>
    <w:rsid w:val="001815D5"/>
    <w:rsid w:val="00185EFE"/>
    <w:rsid w:val="0018670A"/>
    <w:rsid w:val="00187072"/>
    <w:rsid w:val="0018733A"/>
    <w:rsid w:val="0018772E"/>
    <w:rsid w:val="00190058"/>
    <w:rsid w:val="001911B1"/>
    <w:rsid w:val="00191CC8"/>
    <w:rsid w:val="0019228A"/>
    <w:rsid w:val="001924FC"/>
    <w:rsid w:val="00196BB8"/>
    <w:rsid w:val="0019734E"/>
    <w:rsid w:val="001976CC"/>
    <w:rsid w:val="001A0BC9"/>
    <w:rsid w:val="001A2949"/>
    <w:rsid w:val="001A4772"/>
    <w:rsid w:val="001B0195"/>
    <w:rsid w:val="001B020C"/>
    <w:rsid w:val="001B04E9"/>
    <w:rsid w:val="001B056C"/>
    <w:rsid w:val="001B1CCE"/>
    <w:rsid w:val="001B1CDB"/>
    <w:rsid w:val="001B3A21"/>
    <w:rsid w:val="001B416C"/>
    <w:rsid w:val="001B658E"/>
    <w:rsid w:val="001B77D1"/>
    <w:rsid w:val="001C07D0"/>
    <w:rsid w:val="001C228D"/>
    <w:rsid w:val="001C30AB"/>
    <w:rsid w:val="001C3388"/>
    <w:rsid w:val="001C5105"/>
    <w:rsid w:val="001C5E8D"/>
    <w:rsid w:val="001C67D9"/>
    <w:rsid w:val="001C7234"/>
    <w:rsid w:val="001D055F"/>
    <w:rsid w:val="001D0C3A"/>
    <w:rsid w:val="001D13F4"/>
    <w:rsid w:val="001D1433"/>
    <w:rsid w:val="001D149B"/>
    <w:rsid w:val="001D2858"/>
    <w:rsid w:val="001D3036"/>
    <w:rsid w:val="001D3859"/>
    <w:rsid w:val="001D4288"/>
    <w:rsid w:val="001D4A26"/>
    <w:rsid w:val="001D5D33"/>
    <w:rsid w:val="001D5D8F"/>
    <w:rsid w:val="001E0B62"/>
    <w:rsid w:val="001E229E"/>
    <w:rsid w:val="001E28D8"/>
    <w:rsid w:val="001E2A7B"/>
    <w:rsid w:val="001E2CFE"/>
    <w:rsid w:val="001E2E1B"/>
    <w:rsid w:val="001E41D5"/>
    <w:rsid w:val="001E6E76"/>
    <w:rsid w:val="001E7405"/>
    <w:rsid w:val="001F0A04"/>
    <w:rsid w:val="001F0A73"/>
    <w:rsid w:val="001F166C"/>
    <w:rsid w:val="001F28B6"/>
    <w:rsid w:val="001F3835"/>
    <w:rsid w:val="001F4CA6"/>
    <w:rsid w:val="001F58EC"/>
    <w:rsid w:val="001F5CA0"/>
    <w:rsid w:val="001F7FFC"/>
    <w:rsid w:val="00200C55"/>
    <w:rsid w:val="0020570E"/>
    <w:rsid w:val="0020634A"/>
    <w:rsid w:val="0020718C"/>
    <w:rsid w:val="00211B19"/>
    <w:rsid w:val="00212381"/>
    <w:rsid w:val="00213E24"/>
    <w:rsid w:val="00214A28"/>
    <w:rsid w:val="00216D6B"/>
    <w:rsid w:val="00217709"/>
    <w:rsid w:val="00221021"/>
    <w:rsid w:val="002215EE"/>
    <w:rsid w:val="002225D4"/>
    <w:rsid w:val="00224527"/>
    <w:rsid w:val="00224F1C"/>
    <w:rsid w:val="00225EDF"/>
    <w:rsid w:val="002263CF"/>
    <w:rsid w:val="00226711"/>
    <w:rsid w:val="002276C7"/>
    <w:rsid w:val="00227D6A"/>
    <w:rsid w:val="00227E70"/>
    <w:rsid w:val="00230A49"/>
    <w:rsid w:val="00230B3B"/>
    <w:rsid w:val="00233935"/>
    <w:rsid w:val="00235E34"/>
    <w:rsid w:val="00236941"/>
    <w:rsid w:val="002412F8"/>
    <w:rsid w:val="0024180D"/>
    <w:rsid w:val="00243338"/>
    <w:rsid w:val="00244D87"/>
    <w:rsid w:val="00246866"/>
    <w:rsid w:val="00246ADD"/>
    <w:rsid w:val="002473A6"/>
    <w:rsid w:val="002508E6"/>
    <w:rsid w:val="002508F4"/>
    <w:rsid w:val="00252358"/>
    <w:rsid w:val="00252C61"/>
    <w:rsid w:val="00253BB5"/>
    <w:rsid w:val="00254854"/>
    <w:rsid w:val="00255FBC"/>
    <w:rsid w:val="002561AC"/>
    <w:rsid w:val="002567E8"/>
    <w:rsid w:val="00257538"/>
    <w:rsid w:val="00260D48"/>
    <w:rsid w:val="00260FA4"/>
    <w:rsid w:val="002616D8"/>
    <w:rsid w:val="00262261"/>
    <w:rsid w:val="002622A3"/>
    <w:rsid w:val="00264DBB"/>
    <w:rsid w:val="00265865"/>
    <w:rsid w:val="002669E8"/>
    <w:rsid w:val="002677C1"/>
    <w:rsid w:val="00267C84"/>
    <w:rsid w:val="0027216E"/>
    <w:rsid w:val="00273430"/>
    <w:rsid w:val="002745C9"/>
    <w:rsid w:val="00274693"/>
    <w:rsid w:val="00276909"/>
    <w:rsid w:val="00277585"/>
    <w:rsid w:val="002775F4"/>
    <w:rsid w:val="00277BA3"/>
    <w:rsid w:val="002801C0"/>
    <w:rsid w:val="002801F8"/>
    <w:rsid w:val="00280263"/>
    <w:rsid w:val="00280AA4"/>
    <w:rsid w:val="00282C28"/>
    <w:rsid w:val="00282D58"/>
    <w:rsid w:val="00282F2D"/>
    <w:rsid w:val="00283444"/>
    <w:rsid w:val="00287D81"/>
    <w:rsid w:val="002900DF"/>
    <w:rsid w:val="00290BF1"/>
    <w:rsid w:val="00293BAE"/>
    <w:rsid w:val="00295491"/>
    <w:rsid w:val="00295E33"/>
    <w:rsid w:val="00297780"/>
    <w:rsid w:val="002A090F"/>
    <w:rsid w:val="002A0CC0"/>
    <w:rsid w:val="002A0E5D"/>
    <w:rsid w:val="002A0F8D"/>
    <w:rsid w:val="002A10CC"/>
    <w:rsid w:val="002A1664"/>
    <w:rsid w:val="002A1C2C"/>
    <w:rsid w:val="002A33FC"/>
    <w:rsid w:val="002A58A1"/>
    <w:rsid w:val="002A6633"/>
    <w:rsid w:val="002A6806"/>
    <w:rsid w:val="002A6A1B"/>
    <w:rsid w:val="002A7224"/>
    <w:rsid w:val="002A7BA8"/>
    <w:rsid w:val="002B04D9"/>
    <w:rsid w:val="002B1EA3"/>
    <w:rsid w:val="002B24A6"/>
    <w:rsid w:val="002B2504"/>
    <w:rsid w:val="002B53AF"/>
    <w:rsid w:val="002B5512"/>
    <w:rsid w:val="002B6094"/>
    <w:rsid w:val="002B6B85"/>
    <w:rsid w:val="002C0E85"/>
    <w:rsid w:val="002C1C23"/>
    <w:rsid w:val="002C2020"/>
    <w:rsid w:val="002C2601"/>
    <w:rsid w:val="002C308C"/>
    <w:rsid w:val="002C34E3"/>
    <w:rsid w:val="002C3A91"/>
    <w:rsid w:val="002C4EDB"/>
    <w:rsid w:val="002C53B8"/>
    <w:rsid w:val="002C6FB6"/>
    <w:rsid w:val="002C7360"/>
    <w:rsid w:val="002C7DF4"/>
    <w:rsid w:val="002D14EF"/>
    <w:rsid w:val="002D1662"/>
    <w:rsid w:val="002D2483"/>
    <w:rsid w:val="002D298A"/>
    <w:rsid w:val="002D2DAB"/>
    <w:rsid w:val="002D46F7"/>
    <w:rsid w:val="002D4E0E"/>
    <w:rsid w:val="002D5501"/>
    <w:rsid w:val="002D6045"/>
    <w:rsid w:val="002D74CA"/>
    <w:rsid w:val="002D7724"/>
    <w:rsid w:val="002E0C26"/>
    <w:rsid w:val="002E1208"/>
    <w:rsid w:val="002E2348"/>
    <w:rsid w:val="002E3B62"/>
    <w:rsid w:val="002E48A6"/>
    <w:rsid w:val="002E4C89"/>
    <w:rsid w:val="002E5E0A"/>
    <w:rsid w:val="002E6D7E"/>
    <w:rsid w:val="002F02B0"/>
    <w:rsid w:val="002F0E27"/>
    <w:rsid w:val="002F173F"/>
    <w:rsid w:val="002F2757"/>
    <w:rsid w:val="002F5428"/>
    <w:rsid w:val="002F6F61"/>
    <w:rsid w:val="00303129"/>
    <w:rsid w:val="00303AB2"/>
    <w:rsid w:val="00304474"/>
    <w:rsid w:val="0030540F"/>
    <w:rsid w:val="00305D6C"/>
    <w:rsid w:val="00305EC4"/>
    <w:rsid w:val="0030651C"/>
    <w:rsid w:val="00306B96"/>
    <w:rsid w:val="00311FC4"/>
    <w:rsid w:val="003121D6"/>
    <w:rsid w:val="00312A65"/>
    <w:rsid w:val="00314FC9"/>
    <w:rsid w:val="003164E9"/>
    <w:rsid w:val="00317FD7"/>
    <w:rsid w:val="003202A7"/>
    <w:rsid w:val="003208FE"/>
    <w:rsid w:val="0032216D"/>
    <w:rsid w:val="0032418A"/>
    <w:rsid w:val="00325E3A"/>
    <w:rsid w:val="0032736A"/>
    <w:rsid w:val="00327E7B"/>
    <w:rsid w:val="003306BE"/>
    <w:rsid w:val="0033082C"/>
    <w:rsid w:val="003340ED"/>
    <w:rsid w:val="00334F68"/>
    <w:rsid w:val="00334F86"/>
    <w:rsid w:val="00335346"/>
    <w:rsid w:val="00335537"/>
    <w:rsid w:val="003362EF"/>
    <w:rsid w:val="00336D6E"/>
    <w:rsid w:val="00342463"/>
    <w:rsid w:val="0034380B"/>
    <w:rsid w:val="00344704"/>
    <w:rsid w:val="00346431"/>
    <w:rsid w:val="00350F3F"/>
    <w:rsid w:val="0035312D"/>
    <w:rsid w:val="0035352F"/>
    <w:rsid w:val="00353733"/>
    <w:rsid w:val="00353940"/>
    <w:rsid w:val="003541FF"/>
    <w:rsid w:val="00354876"/>
    <w:rsid w:val="00355095"/>
    <w:rsid w:val="00357860"/>
    <w:rsid w:val="00357BF7"/>
    <w:rsid w:val="00357C6E"/>
    <w:rsid w:val="00357FB1"/>
    <w:rsid w:val="00360FFD"/>
    <w:rsid w:val="0036539D"/>
    <w:rsid w:val="00365729"/>
    <w:rsid w:val="00365D69"/>
    <w:rsid w:val="00365D95"/>
    <w:rsid w:val="00367AD1"/>
    <w:rsid w:val="0037013B"/>
    <w:rsid w:val="00370336"/>
    <w:rsid w:val="00370B7D"/>
    <w:rsid w:val="00370BDC"/>
    <w:rsid w:val="00372196"/>
    <w:rsid w:val="003723EE"/>
    <w:rsid w:val="00373143"/>
    <w:rsid w:val="00374351"/>
    <w:rsid w:val="00375835"/>
    <w:rsid w:val="00380089"/>
    <w:rsid w:val="00380604"/>
    <w:rsid w:val="0038150C"/>
    <w:rsid w:val="00383489"/>
    <w:rsid w:val="00383578"/>
    <w:rsid w:val="003864F0"/>
    <w:rsid w:val="00386732"/>
    <w:rsid w:val="00390379"/>
    <w:rsid w:val="003903D1"/>
    <w:rsid w:val="0039388E"/>
    <w:rsid w:val="00394137"/>
    <w:rsid w:val="00394C33"/>
    <w:rsid w:val="00395AFF"/>
    <w:rsid w:val="00395C00"/>
    <w:rsid w:val="00396C44"/>
    <w:rsid w:val="003975ED"/>
    <w:rsid w:val="003A18A5"/>
    <w:rsid w:val="003A1CF2"/>
    <w:rsid w:val="003A21D1"/>
    <w:rsid w:val="003A2B70"/>
    <w:rsid w:val="003A53F0"/>
    <w:rsid w:val="003B0A0C"/>
    <w:rsid w:val="003B1967"/>
    <w:rsid w:val="003B6FD7"/>
    <w:rsid w:val="003B7164"/>
    <w:rsid w:val="003B75D4"/>
    <w:rsid w:val="003C08CA"/>
    <w:rsid w:val="003C0EF1"/>
    <w:rsid w:val="003C1B66"/>
    <w:rsid w:val="003C1BF0"/>
    <w:rsid w:val="003C22B0"/>
    <w:rsid w:val="003C415D"/>
    <w:rsid w:val="003C48F4"/>
    <w:rsid w:val="003C5048"/>
    <w:rsid w:val="003C65D8"/>
    <w:rsid w:val="003C6D56"/>
    <w:rsid w:val="003C7961"/>
    <w:rsid w:val="003C7E14"/>
    <w:rsid w:val="003D0089"/>
    <w:rsid w:val="003D1C8F"/>
    <w:rsid w:val="003D3D41"/>
    <w:rsid w:val="003D3F81"/>
    <w:rsid w:val="003D7282"/>
    <w:rsid w:val="003D740C"/>
    <w:rsid w:val="003E0603"/>
    <w:rsid w:val="003E08C8"/>
    <w:rsid w:val="003E2883"/>
    <w:rsid w:val="003E2BA4"/>
    <w:rsid w:val="003E31A5"/>
    <w:rsid w:val="003E357D"/>
    <w:rsid w:val="003E4762"/>
    <w:rsid w:val="003E5313"/>
    <w:rsid w:val="003E5995"/>
    <w:rsid w:val="003E607D"/>
    <w:rsid w:val="003F02BB"/>
    <w:rsid w:val="003F1068"/>
    <w:rsid w:val="003F1980"/>
    <w:rsid w:val="003F30F6"/>
    <w:rsid w:val="003F3609"/>
    <w:rsid w:val="003F3E5E"/>
    <w:rsid w:val="003F44D6"/>
    <w:rsid w:val="003F58CD"/>
    <w:rsid w:val="003F5BB8"/>
    <w:rsid w:val="003F7447"/>
    <w:rsid w:val="003F7B3A"/>
    <w:rsid w:val="00405DA7"/>
    <w:rsid w:val="00407122"/>
    <w:rsid w:val="0040783D"/>
    <w:rsid w:val="004078BB"/>
    <w:rsid w:val="00407DEF"/>
    <w:rsid w:val="00407F67"/>
    <w:rsid w:val="0041050B"/>
    <w:rsid w:val="00410D89"/>
    <w:rsid w:val="004128DD"/>
    <w:rsid w:val="004145C7"/>
    <w:rsid w:val="004154A2"/>
    <w:rsid w:val="00415B8D"/>
    <w:rsid w:val="004160AE"/>
    <w:rsid w:val="00417184"/>
    <w:rsid w:val="00417285"/>
    <w:rsid w:val="0042246F"/>
    <w:rsid w:val="00422FB4"/>
    <w:rsid w:val="004240F6"/>
    <w:rsid w:val="004242F6"/>
    <w:rsid w:val="00424DA9"/>
    <w:rsid w:val="00425258"/>
    <w:rsid w:val="004253E1"/>
    <w:rsid w:val="00426097"/>
    <w:rsid w:val="00426172"/>
    <w:rsid w:val="004273B3"/>
    <w:rsid w:val="00431DD9"/>
    <w:rsid w:val="0043255B"/>
    <w:rsid w:val="00432588"/>
    <w:rsid w:val="004334F0"/>
    <w:rsid w:val="00434577"/>
    <w:rsid w:val="00434D3F"/>
    <w:rsid w:val="00435091"/>
    <w:rsid w:val="00436684"/>
    <w:rsid w:val="00440AC8"/>
    <w:rsid w:val="00441013"/>
    <w:rsid w:val="004431D0"/>
    <w:rsid w:val="0044450F"/>
    <w:rsid w:val="00444845"/>
    <w:rsid w:val="00444E1F"/>
    <w:rsid w:val="00447CB7"/>
    <w:rsid w:val="004502A6"/>
    <w:rsid w:val="004507EB"/>
    <w:rsid w:val="00451F9A"/>
    <w:rsid w:val="00453F23"/>
    <w:rsid w:val="00455D62"/>
    <w:rsid w:val="00455DC9"/>
    <w:rsid w:val="00456899"/>
    <w:rsid w:val="00456CD8"/>
    <w:rsid w:val="00457169"/>
    <w:rsid w:val="004575F6"/>
    <w:rsid w:val="00460FD7"/>
    <w:rsid w:val="00461695"/>
    <w:rsid w:val="0046241D"/>
    <w:rsid w:val="00463F34"/>
    <w:rsid w:val="0046402E"/>
    <w:rsid w:val="0046437E"/>
    <w:rsid w:val="0046445E"/>
    <w:rsid w:val="00464F85"/>
    <w:rsid w:val="004668DE"/>
    <w:rsid w:val="00466B23"/>
    <w:rsid w:val="00466E28"/>
    <w:rsid w:val="00466FB2"/>
    <w:rsid w:val="004677F4"/>
    <w:rsid w:val="004701E8"/>
    <w:rsid w:val="004704CE"/>
    <w:rsid w:val="00470A8B"/>
    <w:rsid w:val="00471CAA"/>
    <w:rsid w:val="00472253"/>
    <w:rsid w:val="00473017"/>
    <w:rsid w:val="0047452A"/>
    <w:rsid w:val="00475336"/>
    <w:rsid w:val="0047628F"/>
    <w:rsid w:val="0047772B"/>
    <w:rsid w:val="00480977"/>
    <w:rsid w:val="00481C94"/>
    <w:rsid w:val="00481DB4"/>
    <w:rsid w:val="00481FC0"/>
    <w:rsid w:val="004842DE"/>
    <w:rsid w:val="004848C5"/>
    <w:rsid w:val="00485721"/>
    <w:rsid w:val="0048610C"/>
    <w:rsid w:val="00487029"/>
    <w:rsid w:val="00491483"/>
    <w:rsid w:val="00491932"/>
    <w:rsid w:val="00491950"/>
    <w:rsid w:val="00493E53"/>
    <w:rsid w:val="004A17C0"/>
    <w:rsid w:val="004A4936"/>
    <w:rsid w:val="004A4DBB"/>
    <w:rsid w:val="004A5613"/>
    <w:rsid w:val="004A669F"/>
    <w:rsid w:val="004A7237"/>
    <w:rsid w:val="004A73EF"/>
    <w:rsid w:val="004B33D9"/>
    <w:rsid w:val="004B3EB6"/>
    <w:rsid w:val="004B44C6"/>
    <w:rsid w:val="004B4F4D"/>
    <w:rsid w:val="004C4103"/>
    <w:rsid w:val="004C5133"/>
    <w:rsid w:val="004C7604"/>
    <w:rsid w:val="004D01FA"/>
    <w:rsid w:val="004D0CDD"/>
    <w:rsid w:val="004D13D3"/>
    <w:rsid w:val="004D29A5"/>
    <w:rsid w:val="004D41FF"/>
    <w:rsid w:val="004D6397"/>
    <w:rsid w:val="004D68BA"/>
    <w:rsid w:val="004D6951"/>
    <w:rsid w:val="004D7A17"/>
    <w:rsid w:val="004E099B"/>
    <w:rsid w:val="004E1C01"/>
    <w:rsid w:val="004E1FB1"/>
    <w:rsid w:val="004E2C96"/>
    <w:rsid w:val="004E2D94"/>
    <w:rsid w:val="004E341F"/>
    <w:rsid w:val="004E4FEE"/>
    <w:rsid w:val="004E5144"/>
    <w:rsid w:val="004E5D33"/>
    <w:rsid w:val="004E5DF0"/>
    <w:rsid w:val="004E5E88"/>
    <w:rsid w:val="004E5FDF"/>
    <w:rsid w:val="004E7249"/>
    <w:rsid w:val="004E7755"/>
    <w:rsid w:val="004F0178"/>
    <w:rsid w:val="004F1F7B"/>
    <w:rsid w:val="004F29D6"/>
    <w:rsid w:val="004F42C7"/>
    <w:rsid w:val="004F4715"/>
    <w:rsid w:val="004F49F4"/>
    <w:rsid w:val="004F6A77"/>
    <w:rsid w:val="00500C93"/>
    <w:rsid w:val="00501D8D"/>
    <w:rsid w:val="00503D2E"/>
    <w:rsid w:val="00503F5C"/>
    <w:rsid w:val="005057BF"/>
    <w:rsid w:val="00505935"/>
    <w:rsid w:val="00505D2B"/>
    <w:rsid w:val="00505F15"/>
    <w:rsid w:val="005075EF"/>
    <w:rsid w:val="00510A2A"/>
    <w:rsid w:val="00512FE1"/>
    <w:rsid w:val="005133D0"/>
    <w:rsid w:val="00513E5A"/>
    <w:rsid w:val="005142FF"/>
    <w:rsid w:val="00514CAC"/>
    <w:rsid w:val="00514D16"/>
    <w:rsid w:val="00516FD4"/>
    <w:rsid w:val="00517AEE"/>
    <w:rsid w:val="00521B99"/>
    <w:rsid w:val="0052361B"/>
    <w:rsid w:val="00523853"/>
    <w:rsid w:val="00524A2D"/>
    <w:rsid w:val="00525773"/>
    <w:rsid w:val="00525C91"/>
    <w:rsid w:val="00526582"/>
    <w:rsid w:val="00527320"/>
    <w:rsid w:val="00532965"/>
    <w:rsid w:val="00532E62"/>
    <w:rsid w:val="0053300B"/>
    <w:rsid w:val="00534A41"/>
    <w:rsid w:val="00534E69"/>
    <w:rsid w:val="0053555F"/>
    <w:rsid w:val="005365BC"/>
    <w:rsid w:val="0054034D"/>
    <w:rsid w:val="00540746"/>
    <w:rsid w:val="005411B7"/>
    <w:rsid w:val="00543501"/>
    <w:rsid w:val="005435EE"/>
    <w:rsid w:val="00544C63"/>
    <w:rsid w:val="00546E49"/>
    <w:rsid w:val="00547E67"/>
    <w:rsid w:val="00550920"/>
    <w:rsid w:val="0055316A"/>
    <w:rsid w:val="005537E8"/>
    <w:rsid w:val="00554308"/>
    <w:rsid w:val="00554FB2"/>
    <w:rsid w:val="005569F0"/>
    <w:rsid w:val="00556F2C"/>
    <w:rsid w:val="00557E86"/>
    <w:rsid w:val="005618BB"/>
    <w:rsid w:val="005622B1"/>
    <w:rsid w:val="005623DA"/>
    <w:rsid w:val="0056355A"/>
    <w:rsid w:val="00563716"/>
    <w:rsid w:val="005638EF"/>
    <w:rsid w:val="005654ED"/>
    <w:rsid w:val="00565D55"/>
    <w:rsid w:val="00566BC7"/>
    <w:rsid w:val="00567016"/>
    <w:rsid w:val="0057058F"/>
    <w:rsid w:val="005708CF"/>
    <w:rsid w:val="005712AB"/>
    <w:rsid w:val="005717A9"/>
    <w:rsid w:val="005733C1"/>
    <w:rsid w:val="00573CEC"/>
    <w:rsid w:val="00573FBF"/>
    <w:rsid w:val="00574373"/>
    <w:rsid w:val="005748BD"/>
    <w:rsid w:val="00575B68"/>
    <w:rsid w:val="00575E04"/>
    <w:rsid w:val="005762DB"/>
    <w:rsid w:val="005770A7"/>
    <w:rsid w:val="00577D17"/>
    <w:rsid w:val="00580D09"/>
    <w:rsid w:val="00580D3C"/>
    <w:rsid w:val="00583B6D"/>
    <w:rsid w:val="00586AB7"/>
    <w:rsid w:val="00590A83"/>
    <w:rsid w:val="00591A99"/>
    <w:rsid w:val="0059223B"/>
    <w:rsid w:val="005926A0"/>
    <w:rsid w:val="005A31F9"/>
    <w:rsid w:val="005A53B4"/>
    <w:rsid w:val="005A5737"/>
    <w:rsid w:val="005A5E7A"/>
    <w:rsid w:val="005A7EB5"/>
    <w:rsid w:val="005B0990"/>
    <w:rsid w:val="005B2687"/>
    <w:rsid w:val="005B32A1"/>
    <w:rsid w:val="005B3763"/>
    <w:rsid w:val="005B3C7C"/>
    <w:rsid w:val="005B3EB2"/>
    <w:rsid w:val="005B3EBA"/>
    <w:rsid w:val="005B416D"/>
    <w:rsid w:val="005B451F"/>
    <w:rsid w:val="005C0228"/>
    <w:rsid w:val="005C1BB5"/>
    <w:rsid w:val="005C1D44"/>
    <w:rsid w:val="005C2EFD"/>
    <w:rsid w:val="005C3900"/>
    <w:rsid w:val="005C4C76"/>
    <w:rsid w:val="005C64CB"/>
    <w:rsid w:val="005C78BA"/>
    <w:rsid w:val="005D0765"/>
    <w:rsid w:val="005D0E9B"/>
    <w:rsid w:val="005D1C79"/>
    <w:rsid w:val="005D1D71"/>
    <w:rsid w:val="005D1E5C"/>
    <w:rsid w:val="005D21AF"/>
    <w:rsid w:val="005D3333"/>
    <w:rsid w:val="005D35F3"/>
    <w:rsid w:val="005D4BDD"/>
    <w:rsid w:val="005D4E42"/>
    <w:rsid w:val="005D557A"/>
    <w:rsid w:val="005D688B"/>
    <w:rsid w:val="005D73AB"/>
    <w:rsid w:val="005D7B95"/>
    <w:rsid w:val="005D7FC6"/>
    <w:rsid w:val="005E00B5"/>
    <w:rsid w:val="005E0971"/>
    <w:rsid w:val="005E0D73"/>
    <w:rsid w:val="005E153F"/>
    <w:rsid w:val="005E20B7"/>
    <w:rsid w:val="005E5F7C"/>
    <w:rsid w:val="005E615D"/>
    <w:rsid w:val="005E63F0"/>
    <w:rsid w:val="005E6D2B"/>
    <w:rsid w:val="005E7874"/>
    <w:rsid w:val="005E78B4"/>
    <w:rsid w:val="005E7933"/>
    <w:rsid w:val="005F1B47"/>
    <w:rsid w:val="005F336E"/>
    <w:rsid w:val="005F3A3C"/>
    <w:rsid w:val="005F3AC9"/>
    <w:rsid w:val="005F4446"/>
    <w:rsid w:val="005F6D10"/>
    <w:rsid w:val="005F7750"/>
    <w:rsid w:val="00602274"/>
    <w:rsid w:val="00602726"/>
    <w:rsid w:val="00602FB5"/>
    <w:rsid w:val="00603F09"/>
    <w:rsid w:val="00605D83"/>
    <w:rsid w:val="00605ECF"/>
    <w:rsid w:val="00605F55"/>
    <w:rsid w:val="006060E3"/>
    <w:rsid w:val="00606AA5"/>
    <w:rsid w:val="00606ABC"/>
    <w:rsid w:val="00606F69"/>
    <w:rsid w:val="006070FB"/>
    <w:rsid w:val="00607472"/>
    <w:rsid w:val="006075B2"/>
    <w:rsid w:val="00607A94"/>
    <w:rsid w:val="00607B4D"/>
    <w:rsid w:val="00610B73"/>
    <w:rsid w:val="0061271F"/>
    <w:rsid w:val="00612D2D"/>
    <w:rsid w:val="00613AB2"/>
    <w:rsid w:val="00613AE7"/>
    <w:rsid w:val="006140A0"/>
    <w:rsid w:val="00616293"/>
    <w:rsid w:val="00616332"/>
    <w:rsid w:val="00617709"/>
    <w:rsid w:val="00622B95"/>
    <w:rsid w:val="0062309A"/>
    <w:rsid w:val="00623308"/>
    <w:rsid w:val="00623A0B"/>
    <w:rsid w:val="006249A5"/>
    <w:rsid w:val="0062526D"/>
    <w:rsid w:val="00630A12"/>
    <w:rsid w:val="0063116E"/>
    <w:rsid w:val="00633DE7"/>
    <w:rsid w:val="00634E7A"/>
    <w:rsid w:val="006352A6"/>
    <w:rsid w:val="00635B69"/>
    <w:rsid w:val="00636EB9"/>
    <w:rsid w:val="00637D87"/>
    <w:rsid w:val="00640176"/>
    <w:rsid w:val="00641256"/>
    <w:rsid w:val="00641992"/>
    <w:rsid w:val="006439F4"/>
    <w:rsid w:val="0064577D"/>
    <w:rsid w:val="00646360"/>
    <w:rsid w:val="00646EF4"/>
    <w:rsid w:val="00646F46"/>
    <w:rsid w:val="006507CD"/>
    <w:rsid w:val="00651146"/>
    <w:rsid w:val="00652918"/>
    <w:rsid w:val="00652A97"/>
    <w:rsid w:val="00653BEA"/>
    <w:rsid w:val="006548FB"/>
    <w:rsid w:val="00654AD9"/>
    <w:rsid w:val="00655A4E"/>
    <w:rsid w:val="00657536"/>
    <w:rsid w:val="00657999"/>
    <w:rsid w:val="00660114"/>
    <w:rsid w:val="00660A32"/>
    <w:rsid w:val="00662DA4"/>
    <w:rsid w:val="00662DB8"/>
    <w:rsid w:val="00665618"/>
    <w:rsid w:val="00665620"/>
    <w:rsid w:val="0066746A"/>
    <w:rsid w:val="00670C54"/>
    <w:rsid w:val="00670C9F"/>
    <w:rsid w:val="00670E51"/>
    <w:rsid w:val="00670F2B"/>
    <w:rsid w:val="00671D7C"/>
    <w:rsid w:val="00671EEB"/>
    <w:rsid w:val="0067212F"/>
    <w:rsid w:val="006728DF"/>
    <w:rsid w:val="00672B1E"/>
    <w:rsid w:val="0067444F"/>
    <w:rsid w:val="0067606F"/>
    <w:rsid w:val="0068123A"/>
    <w:rsid w:val="006816EC"/>
    <w:rsid w:val="00682532"/>
    <w:rsid w:val="00682E4A"/>
    <w:rsid w:val="006831B7"/>
    <w:rsid w:val="006846BD"/>
    <w:rsid w:val="0068516B"/>
    <w:rsid w:val="0068517E"/>
    <w:rsid w:val="00686203"/>
    <w:rsid w:val="00686599"/>
    <w:rsid w:val="00686F39"/>
    <w:rsid w:val="0068719F"/>
    <w:rsid w:val="00687472"/>
    <w:rsid w:val="0069045C"/>
    <w:rsid w:val="00690C2C"/>
    <w:rsid w:val="0069271D"/>
    <w:rsid w:val="00693196"/>
    <w:rsid w:val="0069365C"/>
    <w:rsid w:val="00693F27"/>
    <w:rsid w:val="00695062"/>
    <w:rsid w:val="00695ACA"/>
    <w:rsid w:val="0069645C"/>
    <w:rsid w:val="00697A9A"/>
    <w:rsid w:val="00697D45"/>
    <w:rsid w:val="006A085C"/>
    <w:rsid w:val="006A089B"/>
    <w:rsid w:val="006A1C20"/>
    <w:rsid w:val="006A2485"/>
    <w:rsid w:val="006A4784"/>
    <w:rsid w:val="006A6567"/>
    <w:rsid w:val="006A65C1"/>
    <w:rsid w:val="006A72AC"/>
    <w:rsid w:val="006A7903"/>
    <w:rsid w:val="006B03D9"/>
    <w:rsid w:val="006B08C6"/>
    <w:rsid w:val="006B18ED"/>
    <w:rsid w:val="006B2E61"/>
    <w:rsid w:val="006B43F3"/>
    <w:rsid w:val="006B4DA8"/>
    <w:rsid w:val="006B7E20"/>
    <w:rsid w:val="006C0F07"/>
    <w:rsid w:val="006C2365"/>
    <w:rsid w:val="006C2E6C"/>
    <w:rsid w:val="006C2FF0"/>
    <w:rsid w:val="006C3A17"/>
    <w:rsid w:val="006C47F5"/>
    <w:rsid w:val="006C4E80"/>
    <w:rsid w:val="006C5D67"/>
    <w:rsid w:val="006C6014"/>
    <w:rsid w:val="006C6FED"/>
    <w:rsid w:val="006C7481"/>
    <w:rsid w:val="006C7658"/>
    <w:rsid w:val="006D03EF"/>
    <w:rsid w:val="006D060C"/>
    <w:rsid w:val="006D189B"/>
    <w:rsid w:val="006D261F"/>
    <w:rsid w:val="006D2B2E"/>
    <w:rsid w:val="006D672A"/>
    <w:rsid w:val="006D7D98"/>
    <w:rsid w:val="006E0CC5"/>
    <w:rsid w:val="006E39E2"/>
    <w:rsid w:val="006E4573"/>
    <w:rsid w:val="006E4EC0"/>
    <w:rsid w:val="006E5365"/>
    <w:rsid w:val="006E58A1"/>
    <w:rsid w:val="006E607C"/>
    <w:rsid w:val="006F1D7E"/>
    <w:rsid w:val="006F269F"/>
    <w:rsid w:val="006F3BA8"/>
    <w:rsid w:val="006F529D"/>
    <w:rsid w:val="006F5558"/>
    <w:rsid w:val="006F5EEA"/>
    <w:rsid w:val="006F6833"/>
    <w:rsid w:val="00701140"/>
    <w:rsid w:val="00701334"/>
    <w:rsid w:val="00702617"/>
    <w:rsid w:val="00702956"/>
    <w:rsid w:val="007043DB"/>
    <w:rsid w:val="007059AE"/>
    <w:rsid w:val="0070639D"/>
    <w:rsid w:val="0070653A"/>
    <w:rsid w:val="00706C61"/>
    <w:rsid w:val="00707363"/>
    <w:rsid w:val="00707445"/>
    <w:rsid w:val="00707607"/>
    <w:rsid w:val="007079A4"/>
    <w:rsid w:val="007101FA"/>
    <w:rsid w:val="007111A1"/>
    <w:rsid w:val="00711332"/>
    <w:rsid w:val="00711361"/>
    <w:rsid w:val="00711946"/>
    <w:rsid w:val="00712686"/>
    <w:rsid w:val="00712A9A"/>
    <w:rsid w:val="00712C67"/>
    <w:rsid w:val="00714D5F"/>
    <w:rsid w:val="00715AF0"/>
    <w:rsid w:val="0071678A"/>
    <w:rsid w:val="00716F44"/>
    <w:rsid w:val="00717BAD"/>
    <w:rsid w:val="00717C4F"/>
    <w:rsid w:val="007202AB"/>
    <w:rsid w:val="0072052B"/>
    <w:rsid w:val="00720CA5"/>
    <w:rsid w:val="00722630"/>
    <w:rsid w:val="00723BCB"/>
    <w:rsid w:val="007245F3"/>
    <w:rsid w:val="00724707"/>
    <w:rsid w:val="00726940"/>
    <w:rsid w:val="00727ECC"/>
    <w:rsid w:val="00727FE5"/>
    <w:rsid w:val="00730C32"/>
    <w:rsid w:val="00730D01"/>
    <w:rsid w:val="007318F5"/>
    <w:rsid w:val="00731B7C"/>
    <w:rsid w:val="00731CBE"/>
    <w:rsid w:val="0073223D"/>
    <w:rsid w:val="00734EA1"/>
    <w:rsid w:val="00734FAE"/>
    <w:rsid w:val="00735966"/>
    <w:rsid w:val="00735B40"/>
    <w:rsid w:val="00735C0E"/>
    <w:rsid w:val="00735CFF"/>
    <w:rsid w:val="00735FB7"/>
    <w:rsid w:val="00737023"/>
    <w:rsid w:val="007370B4"/>
    <w:rsid w:val="0073784F"/>
    <w:rsid w:val="00741CCB"/>
    <w:rsid w:val="00743D3B"/>
    <w:rsid w:val="00744294"/>
    <w:rsid w:val="0074507F"/>
    <w:rsid w:val="00745CCB"/>
    <w:rsid w:val="0075047C"/>
    <w:rsid w:val="00750633"/>
    <w:rsid w:val="00751000"/>
    <w:rsid w:val="00751578"/>
    <w:rsid w:val="0075231D"/>
    <w:rsid w:val="00752C5D"/>
    <w:rsid w:val="00753123"/>
    <w:rsid w:val="00753F65"/>
    <w:rsid w:val="00754ECE"/>
    <w:rsid w:val="00756802"/>
    <w:rsid w:val="007569A7"/>
    <w:rsid w:val="00756C39"/>
    <w:rsid w:val="00757F5E"/>
    <w:rsid w:val="00761181"/>
    <w:rsid w:val="007623E5"/>
    <w:rsid w:val="00762819"/>
    <w:rsid w:val="00762FEF"/>
    <w:rsid w:val="0076424B"/>
    <w:rsid w:val="007644D9"/>
    <w:rsid w:val="0076510B"/>
    <w:rsid w:val="00766517"/>
    <w:rsid w:val="00766EA7"/>
    <w:rsid w:val="0077017A"/>
    <w:rsid w:val="00770C1A"/>
    <w:rsid w:val="0077199C"/>
    <w:rsid w:val="007735A5"/>
    <w:rsid w:val="0077362B"/>
    <w:rsid w:val="00775290"/>
    <w:rsid w:val="00776544"/>
    <w:rsid w:val="00776E78"/>
    <w:rsid w:val="007772F4"/>
    <w:rsid w:val="007778C3"/>
    <w:rsid w:val="00780A2B"/>
    <w:rsid w:val="007829DF"/>
    <w:rsid w:val="00782A69"/>
    <w:rsid w:val="00783468"/>
    <w:rsid w:val="007842F4"/>
    <w:rsid w:val="00785536"/>
    <w:rsid w:val="00790156"/>
    <w:rsid w:val="00791F1E"/>
    <w:rsid w:val="007929E2"/>
    <w:rsid w:val="00793CA3"/>
    <w:rsid w:val="00794167"/>
    <w:rsid w:val="0079480F"/>
    <w:rsid w:val="00794A67"/>
    <w:rsid w:val="00796B08"/>
    <w:rsid w:val="00796F35"/>
    <w:rsid w:val="007A0129"/>
    <w:rsid w:val="007A0591"/>
    <w:rsid w:val="007A1AAF"/>
    <w:rsid w:val="007A2EC0"/>
    <w:rsid w:val="007A3641"/>
    <w:rsid w:val="007A3796"/>
    <w:rsid w:val="007A7252"/>
    <w:rsid w:val="007A7707"/>
    <w:rsid w:val="007B0CEB"/>
    <w:rsid w:val="007B66D2"/>
    <w:rsid w:val="007C0626"/>
    <w:rsid w:val="007C0990"/>
    <w:rsid w:val="007C1459"/>
    <w:rsid w:val="007C19CD"/>
    <w:rsid w:val="007C2773"/>
    <w:rsid w:val="007C552C"/>
    <w:rsid w:val="007C59FE"/>
    <w:rsid w:val="007C5CB0"/>
    <w:rsid w:val="007C617C"/>
    <w:rsid w:val="007D177C"/>
    <w:rsid w:val="007D2928"/>
    <w:rsid w:val="007D37FC"/>
    <w:rsid w:val="007D3A96"/>
    <w:rsid w:val="007D49E7"/>
    <w:rsid w:val="007D4CFA"/>
    <w:rsid w:val="007D4FA9"/>
    <w:rsid w:val="007D550C"/>
    <w:rsid w:val="007D6E46"/>
    <w:rsid w:val="007D7651"/>
    <w:rsid w:val="007D7B42"/>
    <w:rsid w:val="007E02DF"/>
    <w:rsid w:val="007E0302"/>
    <w:rsid w:val="007E0914"/>
    <w:rsid w:val="007E1309"/>
    <w:rsid w:val="007E135F"/>
    <w:rsid w:val="007E18E8"/>
    <w:rsid w:val="007E1C6D"/>
    <w:rsid w:val="007E2F5A"/>
    <w:rsid w:val="007E345B"/>
    <w:rsid w:val="007E3F95"/>
    <w:rsid w:val="007E45AB"/>
    <w:rsid w:val="007E4728"/>
    <w:rsid w:val="007E4D9B"/>
    <w:rsid w:val="007E5286"/>
    <w:rsid w:val="007E77DD"/>
    <w:rsid w:val="007F0122"/>
    <w:rsid w:val="007F01E6"/>
    <w:rsid w:val="007F03A7"/>
    <w:rsid w:val="007F058E"/>
    <w:rsid w:val="007F13B7"/>
    <w:rsid w:val="007F2441"/>
    <w:rsid w:val="007F29F2"/>
    <w:rsid w:val="007F2FFD"/>
    <w:rsid w:val="007F391B"/>
    <w:rsid w:val="007F4407"/>
    <w:rsid w:val="007F48A9"/>
    <w:rsid w:val="007F5012"/>
    <w:rsid w:val="007F57BB"/>
    <w:rsid w:val="007F7A3C"/>
    <w:rsid w:val="00801CBC"/>
    <w:rsid w:val="008021E4"/>
    <w:rsid w:val="00803781"/>
    <w:rsid w:val="00805C6E"/>
    <w:rsid w:val="008065B7"/>
    <w:rsid w:val="00806D01"/>
    <w:rsid w:val="00807277"/>
    <w:rsid w:val="00810A13"/>
    <w:rsid w:val="00810C6B"/>
    <w:rsid w:val="00810C80"/>
    <w:rsid w:val="00811D1B"/>
    <w:rsid w:val="0081206A"/>
    <w:rsid w:val="0081218F"/>
    <w:rsid w:val="00813EBE"/>
    <w:rsid w:val="00814E56"/>
    <w:rsid w:val="00815149"/>
    <w:rsid w:val="00815436"/>
    <w:rsid w:val="0081583A"/>
    <w:rsid w:val="00816153"/>
    <w:rsid w:val="00816FA7"/>
    <w:rsid w:val="008171AE"/>
    <w:rsid w:val="00817D0C"/>
    <w:rsid w:val="00820382"/>
    <w:rsid w:val="00820E6F"/>
    <w:rsid w:val="00823461"/>
    <w:rsid w:val="0082456A"/>
    <w:rsid w:val="00824D78"/>
    <w:rsid w:val="008261C2"/>
    <w:rsid w:val="00826CA5"/>
    <w:rsid w:val="008277FD"/>
    <w:rsid w:val="0083216F"/>
    <w:rsid w:val="00834D6B"/>
    <w:rsid w:val="00834FDB"/>
    <w:rsid w:val="00836328"/>
    <w:rsid w:val="00837097"/>
    <w:rsid w:val="0083745B"/>
    <w:rsid w:val="0084019A"/>
    <w:rsid w:val="008411C2"/>
    <w:rsid w:val="00842809"/>
    <w:rsid w:val="00842FCC"/>
    <w:rsid w:val="00845336"/>
    <w:rsid w:val="0085088B"/>
    <w:rsid w:val="008510FE"/>
    <w:rsid w:val="00851D23"/>
    <w:rsid w:val="00851F28"/>
    <w:rsid w:val="00852018"/>
    <w:rsid w:val="0085258E"/>
    <w:rsid w:val="00853F38"/>
    <w:rsid w:val="008552A7"/>
    <w:rsid w:val="00855CE9"/>
    <w:rsid w:val="00856AE5"/>
    <w:rsid w:val="008574E4"/>
    <w:rsid w:val="00860763"/>
    <w:rsid w:val="00861D7A"/>
    <w:rsid w:val="008620DF"/>
    <w:rsid w:val="00862805"/>
    <w:rsid w:val="00863A28"/>
    <w:rsid w:val="00864155"/>
    <w:rsid w:val="00864631"/>
    <w:rsid w:val="0086488F"/>
    <w:rsid w:val="008657AB"/>
    <w:rsid w:val="00866347"/>
    <w:rsid w:val="0087275F"/>
    <w:rsid w:val="00872868"/>
    <w:rsid w:val="00874305"/>
    <w:rsid w:val="00874CD4"/>
    <w:rsid w:val="008770DC"/>
    <w:rsid w:val="008777E1"/>
    <w:rsid w:val="00880DAB"/>
    <w:rsid w:val="00882DA6"/>
    <w:rsid w:val="0088488E"/>
    <w:rsid w:val="00884F15"/>
    <w:rsid w:val="008850C9"/>
    <w:rsid w:val="00887DEF"/>
    <w:rsid w:val="00890467"/>
    <w:rsid w:val="00890DAB"/>
    <w:rsid w:val="008927EB"/>
    <w:rsid w:val="00895682"/>
    <w:rsid w:val="0089582C"/>
    <w:rsid w:val="00896975"/>
    <w:rsid w:val="00896BB4"/>
    <w:rsid w:val="008A08FC"/>
    <w:rsid w:val="008A10CF"/>
    <w:rsid w:val="008A16C7"/>
    <w:rsid w:val="008A189F"/>
    <w:rsid w:val="008A2710"/>
    <w:rsid w:val="008A31E8"/>
    <w:rsid w:val="008A4B56"/>
    <w:rsid w:val="008A502A"/>
    <w:rsid w:val="008A509D"/>
    <w:rsid w:val="008A6934"/>
    <w:rsid w:val="008A7B2F"/>
    <w:rsid w:val="008B1C3B"/>
    <w:rsid w:val="008B569E"/>
    <w:rsid w:val="008B755E"/>
    <w:rsid w:val="008B7E0F"/>
    <w:rsid w:val="008C0449"/>
    <w:rsid w:val="008C0E40"/>
    <w:rsid w:val="008C1349"/>
    <w:rsid w:val="008C245B"/>
    <w:rsid w:val="008C53F4"/>
    <w:rsid w:val="008C5F72"/>
    <w:rsid w:val="008C635A"/>
    <w:rsid w:val="008C63E5"/>
    <w:rsid w:val="008C70AE"/>
    <w:rsid w:val="008D047D"/>
    <w:rsid w:val="008D07C3"/>
    <w:rsid w:val="008D236F"/>
    <w:rsid w:val="008D27ED"/>
    <w:rsid w:val="008D2E56"/>
    <w:rsid w:val="008D3327"/>
    <w:rsid w:val="008D57D8"/>
    <w:rsid w:val="008E1426"/>
    <w:rsid w:val="008E1D06"/>
    <w:rsid w:val="008E1DC3"/>
    <w:rsid w:val="008E2626"/>
    <w:rsid w:val="008E4791"/>
    <w:rsid w:val="008E50A9"/>
    <w:rsid w:val="008E5219"/>
    <w:rsid w:val="008E75F8"/>
    <w:rsid w:val="008F1D20"/>
    <w:rsid w:val="008F3AF2"/>
    <w:rsid w:val="008F3BD5"/>
    <w:rsid w:val="008F47C8"/>
    <w:rsid w:val="008F62A3"/>
    <w:rsid w:val="008F6825"/>
    <w:rsid w:val="008F7404"/>
    <w:rsid w:val="008F740B"/>
    <w:rsid w:val="009006FF"/>
    <w:rsid w:val="00902EE8"/>
    <w:rsid w:val="00905918"/>
    <w:rsid w:val="0090592C"/>
    <w:rsid w:val="00905BF7"/>
    <w:rsid w:val="009100B2"/>
    <w:rsid w:val="00911DAC"/>
    <w:rsid w:val="009131C1"/>
    <w:rsid w:val="00913377"/>
    <w:rsid w:val="00913F7A"/>
    <w:rsid w:val="00915AC1"/>
    <w:rsid w:val="009162DE"/>
    <w:rsid w:val="00917165"/>
    <w:rsid w:val="00921F3F"/>
    <w:rsid w:val="00923D1B"/>
    <w:rsid w:val="00923EC6"/>
    <w:rsid w:val="009245A6"/>
    <w:rsid w:val="00925ED8"/>
    <w:rsid w:val="00930511"/>
    <w:rsid w:val="00931BD7"/>
    <w:rsid w:val="0093267B"/>
    <w:rsid w:val="00932B21"/>
    <w:rsid w:val="00933499"/>
    <w:rsid w:val="0093529B"/>
    <w:rsid w:val="00935557"/>
    <w:rsid w:val="00936645"/>
    <w:rsid w:val="0093791A"/>
    <w:rsid w:val="009400E8"/>
    <w:rsid w:val="0094389B"/>
    <w:rsid w:val="0094459B"/>
    <w:rsid w:val="0094661A"/>
    <w:rsid w:val="009475E5"/>
    <w:rsid w:val="00947EBA"/>
    <w:rsid w:val="00952570"/>
    <w:rsid w:val="00954148"/>
    <w:rsid w:val="009546F8"/>
    <w:rsid w:val="00955B42"/>
    <w:rsid w:val="00957CBB"/>
    <w:rsid w:val="00957DBB"/>
    <w:rsid w:val="00960A72"/>
    <w:rsid w:val="0096241D"/>
    <w:rsid w:val="009626B1"/>
    <w:rsid w:val="009637FB"/>
    <w:rsid w:val="00965370"/>
    <w:rsid w:val="0096587C"/>
    <w:rsid w:val="00966222"/>
    <w:rsid w:val="0096763F"/>
    <w:rsid w:val="00971390"/>
    <w:rsid w:val="009718B3"/>
    <w:rsid w:val="0097233D"/>
    <w:rsid w:val="009725BB"/>
    <w:rsid w:val="009732F5"/>
    <w:rsid w:val="009742C8"/>
    <w:rsid w:val="009751BC"/>
    <w:rsid w:val="00975576"/>
    <w:rsid w:val="00976AA2"/>
    <w:rsid w:val="009778EC"/>
    <w:rsid w:val="00980AF1"/>
    <w:rsid w:val="00980C90"/>
    <w:rsid w:val="00981CB7"/>
    <w:rsid w:val="00983E51"/>
    <w:rsid w:val="00984037"/>
    <w:rsid w:val="00984810"/>
    <w:rsid w:val="00984915"/>
    <w:rsid w:val="00985731"/>
    <w:rsid w:val="00985F5A"/>
    <w:rsid w:val="009868F2"/>
    <w:rsid w:val="00987AED"/>
    <w:rsid w:val="009903E8"/>
    <w:rsid w:val="00993A19"/>
    <w:rsid w:val="00995459"/>
    <w:rsid w:val="00996068"/>
    <w:rsid w:val="009969BC"/>
    <w:rsid w:val="00996B81"/>
    <w:rsid w:val="009970AA"/>
    <w:rsid w:val="009975AF"/>
    <w:rsid w:val="009977C0"/>
    <w:rsid w:val="00997BC0"/>
    <w:rsid w:val="009A09AE"/>
    <w:rsid w:val="009A31DA"/>
    <w:rsid w:val="009A3397"/>
    <w:rsid w:val="009A5BB8"/>
    <w:rsid w:val="009A7677"/>
    <w:rsid w:val="009B0339"/>
    <w:rsid w:val="009B0344"/>
    <w:rsid w:val="009B35EF"/>
    <w:rsid w:val="009B39A0"/>
    <w:rsid w:val="009B469E"/>
    <w:rsid w:val="009B51CD"/>
    <w:rsid w:val="009B53F2"/>
    <w:rsid w:val="009B65A7"/>
    <w:rsid w:val="009C230B"/>
    <w:rsid w:val="009C26A2"/>
    <w:rsid w:val="009C2DA5"/>
    <w:rsid w:val="009C44E8"/>
    <w:rsid w:val="009C511D"/>
    <w:rsid w:val="009C5BD6"/>
    <w:rsid w:val="009C6324"/>
    <w:rsid w:val="009D067B"/>
    <w:rsid w:val="009D2B5D"/>
    <w:rsid w:val="009D37FD"/>
    <w:rsid w:val="009D3D50"/>
    <w:rsid w:val="009D74A6"/>
    <w:rsid w:val="009E18AF"/>
    <w:rsid w:val="009E52F9"/>
    <w:rsid w:val="009E5C35"/>
    <w:rsid w:val="009E6D27"/>
    <w:rsid w:val="009E778D"/>
    <w:rsid w:val="009E7E45"/>
    <w:rsid w:val="009F035B"/>
    <w:rsid w:val="009F1DF1"/>
    <w:rsid w:val="009F20BC"/>
    <w:rsid w:val="009F789A"/>
    <w:rsid w:val="00A0038E"/>
    <w:rsid w:val="00A014D3"/>
    <w:rsid w:val="00A01845"/>
    <w:rsid w:val="00A01C30"/>
    <w:rsid w:val="00A038D6"/>
    <w:rsid w:val="00A05CD3"/>
    <w:rsid w:val="00A07408"/>
    <w:rsid w:val="00A07432"/>
    <w:rsid w:val="00A1036B"/>
    <w:rsid w:val="00A12936"/>
    <w:rsid w:val="00A144D6"/>
    <w:rsid w:val="00A155E7"/>
    <w:rsid w:val="00A15645"/>
    <w:rsid w:val="00A160B3"/>
    <w:rsid w:val="00A172C7"/>
    <w:rsid w:val="00A2070F"/>
    <w:rsid w:val="00A21259"/>
    <w:rsid w:val="00A21FFF"/>
    <w:rsid w:val="00A232BE"/>
    <w:rsid w:val="00A233AB"/>
    <w:rsid w:val="00A236D0"/>
    <w:rsid w:val="00A23C93"/>
    <w:rsid w:val="00A24350"/>
    <w:rsid w:val="00A24AE0"/>
    <w:rsid w:val="00A27335"/>
    <w:rsid w:val="00A30329"/>
    <w:rsid w:val="00A30356"/>
    <w:rsid w:val="00A32C0E"/>
    <w:rsid w:val="00A36793"/>
    <w:rsid w:val="00A37D19"/>
    <w:rsid w:val="00A40991"/>
    <w:rsid w:val="00A40BC9"/>
    <w:rsid w:val="00A411F7"/>
    <w:rsid w:val="00A41BFA"/>
    <w:rsid w:val="00A42936"/>
    <w:rsid w:val="00A43FE9"/>
    <w:rsid w:val="00A454AB"/>
    <w:rsid w:val="00A45ACC"/>
    <w:rsid w:val="00A45FFF"/>
    <w:rsid w:val="00A473AE"/>
    <w:rsid w:val="00A50E93"/>
    <w:rsid w:val="00A50F05"/>
    <w:rsid w:val="00A55010"/>
    <w:rsid w:val="00A61C23"/>
    <w:rsid w:val="00A620D9"/>
    <w:rsid w:val="00A62F1B"/>
    <w:rsid w:val="00A640A5"/>
    <w:rsid w:val="00A644DD"/>
    <w:rsid w:val="00A64E00"/>
    <w:rsid w:val="00A6591D"/>
    <w:rsid w:val="00A71230"/>
    <w:rsid w:val="00A71DAA"/>
    <w:rsid w:val="00A72BB2"/>
    <w:rsid w:val="00A72CFD"/>
    <w:rsid w:val="00A74694"/>
    <w:rsid w:val="00A74C70"/>
    <w:rsid w:val="00A75280"/>
    <w:rsid w:val="00A75551"/>
    <w:rsid w:val="00A766E2"/>
    <w:rsid w:val="00A8135D"/>
    <w:rsid w:val="00A8140E"/>
    <w:rsid w:val="00A81B1C"/>
    <w:rsid w:val="00A82E05"/>
    <w:rsid w:val="00A834AC"/>
    <w:rsid w:val="00A83754"/>
    <w:rsid w:val="00A839F0"/>
    <w:rsid w:val="00A8510A"/>
    <w:rsid w:val="00A86230"/>
    <w:rsid w:val="00A86354"/>
    <w:rsid w:val="00A87CC5"/>
    <w:rsid w:val="00A91C6C"/>
    <w:rsid w:val="00A9258D"/>
    <w:rsid w:val="00A92B41"/>
    <w:rsid w:val="00A9547B"/>
    <w:rsid w:val="00A95853"/>
    <w:rsid w:val="00A96726"/>
    <w:rsid w:val="00A96913"/>
    <w:rsid w:val="00A97F88"/>
    <w:rsid w:val="00AA02B8"/>
    <w:rsid w:val="00AA1107"/>
    <w:rsid w:val="00AA1BEB"/>
    <w:rsid w:val="00AA2919"/>
    <w:rsid w:val="00AA2F50"/>
    <w:rsid w:val="00AA32EB"/>
    <w:rsid w:val="00AA33F3"/>
    <w:rsid w:val="00AA3B71"/>
    <w:rsid w:val="00AB1C7D"/>
    <w:rsid w:val="00AB2B5F"/>
    <w:rsid w:val="00AB3024"/>
    <w:rsid w:val="00AB30C5"/>
    <w:rsid w:val="00AB3D57"/>
    <w:rsid w:val="00AB3D83"/>
    <w:rsid w:val="00AB5110"/>
    <w:rsid w:val="00AB6F75"/>
    <w:rsid w:val="00AB7634"/>
    <w:rsid w:val="00AC1766"/>
    <w:rsid w:val="00AC190C"/>
    <w:rsid w:val="00AC2B37"/>
    <w:rsid w:val="00AC424F"/>
    <w:rsid w:val="00AC5ABA"/>
    <w:rsid w:val="00AC75AC"/>
    <w:rsid w:val="00AC7602"/>
    <w:rsid w:val="00AC799B"/>
    <w:rsid w:val="00AD28FD"/>
    <w:rsid w:val="00AD2D12"/>
    <w:rsid w:val="00AD314E"/>
    <w:rsid w:val="00AD3976"/>
    <w:rsid w:val="00AD40E6"/>
    <w:rsid w:val="00AD4BAD"/>
    <w:rsid w:val="00AD5633"/>
    <w:rsid w:val="00AD56A4"/>
    <w:rsid w:val="00AD57C5"/>
    <w:rsid w:val="00AD5E09"/>
    <w:rsid w:val="00AD76F9"/>
    <w:rsid w:val="00AD7B2A"/>
    <w:rsid w:val="00AE08BA"/>
    <w:rsid w:val="00AE0B04"/>
    <w:rsid w:val="00AE1131"/>
    <w:rsid w:val="00AE1FC3"/>
    <w:rsid w:val="00AE30A9"/>
    <w:rsid w:val="00AE3A80"/>
    <w:rsid w:val="00AE439A"/>
    <w:rsid w:val="00AE4A1A"/>
    <w:rsid w:val="00AE69F4"/>
    <w:rsid w:val="00AF1AD5"/>
    <w:rsid w:val="00AF3E95"/>
    <w:rsid w:val="00AF4B73"/>
    <w:rsid w:val="00AF572C"/>
    <w:rsid w:val="00AF580B"/>
    <w:rsid w:val="00AF683C"/>
    <w:rsid w:val="00AF76F8"/>
    <w:rsid w:val="00B0007F"/>
    <w:rsid w:val="00B010B5"/>
    <w:rsid w:val="00B01ABD"/>
    <w:rsid w:val="00B01D47"/>
    <w:rsid w:val="00B02B91"/>
    <w:rsid w:val="00B03013"/>
    <w:rsid w:val="00B0472B"/>
    <w:rsid w:val="00B06B2C"/>
    <w:rsid w:val="00B0777C"/>
    <w:rsid w:val="00B07B7B"/>
    <w:rsid w:val="00B07DB1"/>
    <w:rsid w:val="00B156CE"/>
    <w:rsid w:val="00B15D97"/>
    <w:rsid w:val="00B16C10"/>
    <w:rsid w:val="00B179EE"/>
    <w:rsid w:val="00B20032"/>
    <w:rsid w:val="00B254DD"/>
    <w:rsid w:val="00B25C10"/>
    <w:rsid w:val="00B30BF1"/>
    <w:rsid w:val="00B30F94"/>
    <w:rsid w:val="00B31060"/>
    <w:rsid w:val="00B31359"/>
    <w:rsid w:val="00B327BA"/>
    <w:rsid w:val="00B33673"/>
    <w:rsid w:val="00B336E1"/>
    <w:rsid w:val="00B33704"/>
    <w:rsid w:val="00B3437E"/>
    <w:rsid w:val="00B35C9C"/>
    <w:rsid w:val="00B366E8"/>
    <w:rsid w:val="00B36BA4"/>
    <w:rsid w:val="00B40EBE"/>
    <w:rsid w:val="00B41B58"/>
    <w:rsid w:val="00B42EDE"/>
    <w:rsid w:val="00B44241"/>
    <w:rsid w:val="00B44DD9"/>
    <w:rsid w:val="00B45AB0"/>
    <w:rsid w:val="00B45D4C"/>
    <w:rsid w:val="00B46AEB"/>
    <w:rsid w:val="00B46C72"/>
    <w:rsid w:val="00B47C1A"/>
    <w:rsid w:val="00B51479"/>
    <w:rsid w:val="00B53102"/>
    <w:rsid w:val="00B55199"/>
    <w:rsid w:val="00B56A4D"/>
    <w:rsid w:val="00B57FD1"/>
    <w:rsid w:val="00B600EE"/>
    <w:rsid w:val="00B60284"/>
    <w:rsid w:val="00B616B0"/>
    <w:rsid w:val="00B62278"/>
    <w:rsid w:val="00B639BA"/>
    <w:rsid w:val="00B64F12"/>
    <w:rsid w:val="00B65293"/>
    <w:rsid w:val="00B652D3"/>
    <w:rsid w:val="00B662BD"/>
    <w:rsid w:val="00B67B28"/>
    <w:rsid w:val="00B71E6F"/>
    <w:rsid w:val="00B71FF4"/>
    <w:rsid w:val="00B7473B"/>
    <w:rsid w:val="00B74AA4"/>
    <w:rsid w:val="00B76B84"/>
    <w:rsid w:val="00B7750B"/>
    <w:rsid w:val="00B7776D"/>
    <w:rsid w:val="00B803CB"/>
    <w:rsid w:val="00B811AC"/>
    <w:rsid w:val="00B83114"/>
    <w:rsid w:val="00B85C31"/>
    <w:rsid w:val="00B8613D"/>
    <w:rsid w:val="00B86BD7"/>
    <w:rsid w:val="00B86DA8"/>
    <w:rsid w:val="00B870A3"/>
    <w:rsid w:val="00B874F4"/>
    <w:rsid w:val="00B87787"/>
    <w:rsid w:val="00B87E83"/>
    <w:rsid w:val="00B953F9"/>
    <w:rsid w:val="00B95AEA"/>
    <w:rsid w:val="00B96F60"/>
    <w:rsid w:val="00BA07A3"/>
    <w:rsid w:val="00BA1024"/>
    <w:rsid w:val="00BA1912"/>
    <w:rsid w:val="00BA1CB1"/>
    <w:rsid w:val="00BA23F7"/>
    <w:rsid w:val="00BA5BE2"/>
    <w:rsid w:val="00BA5D3D"/>
    <w:rsid w:val="00BA6D76"/>
    <w:rsid w:val="00BA7A43"/>
    <w:rsid w:val="00BA7CA4"/>
    <w:rsid w:val="00BB01B2"/>
    <w:rsid w:val="00BB01B8"/>
    <w:rsid w:val="00BB0D47"/>
    <w:rsid w:val="00BB0E21"/>
    <w:rsid w:val="00BB1265"/>
    <w:rsid w:val="00BB1647"/>
    <w:rsid w:val="00BB1EF0"/>
    <w:rsid w:val="00BB22D9"/>
    <w:rsid w:val="00BB2A28"/>
    <w:rsid w:val="00BB2F31"/>
    <w:rsid w:val="00BB38F9"/>
    <w:rsid w:val="00BB4927"/>
    <w:rsid w:val="00BB4BBE"/>
    <w:rsid w:val="00BB52D3"/>
    <w:rsid w:val="00BB6690"/>
    <w:rsid w:val="00BC116A"/>
    <w:rsid w:val="00BC1950"/>
    <w:rsid w:val="00BC2610"/>
    <w:rsid w:val="00BC2EB3"/>
    <w:rsid w:val="00BC4332"/>
    <w:rsid w:val="00BC6CA0"/>
    <w:rsid w:val="00BC6D2D"/>
    <w:rsid w:val="00BC7DE0"/>
    <w:rsid w:val="00BD1D07"/>
    <w:rsid w:val="00BD1E25"/>
    <w:rsid w:val="00BD1E48"/>
    <w:rsid w:val="00BD2759"/>
    <w:rsid w:val="00BD376E"/>
    <w:rsid w:val="00BE0B07"/>
    <w:rsid w:val="00BE3645"/>
    <w:rsid w:val="00BE36A9"/>
    <w:rsid w:val="00BE4539"/>
    <w:rsid w:val="00BE4666"/>
    <w:rsid w:val="00BE4EED"/>
    <w:rsid w:val="00BE658C"/>
    <w:rsid w:val="00BE6B8D"/>
    <w:rsid w:val="00BE6DA1"/>
    <w:rsid w:val="00BE70FF"/>
    <w:rsid w:val="00BE7A31"/>
    <w:rsid w:val="00BE7FDD"/>
    <w:rsid w:val="00BF029B"/>
    <w:rsid w:val="00BF073C"/>
    <w:rsid w:val="00BF0CDB"/>
    <w:rsid w:val="00BF0CF6"/>
    <w:rsid w:val="00BF1880"/>
    <w:rsid w:val="00BF1F47"/>
    <w:rsid w:val="00BF238B"/>
    <w:rsid w:val="00BF4DC4"/>
    <w:rsid w:val="00BF5C9E"/>
    <w:rsid w:val="00BF5EA3"/>
    <w:rsid w:val="00BF764F"/>
    <w:rsid w:val="00BF7A44"/>
    <w:rsid w:val="00BF7AE8"/>
    <w:rsid w:val="00C00364"/>
    <w:rsid w:val="00C02412"/>
    <w:rsid w:val="00C02540"/>
    <w:rsid w:val="00C02C07"/>
    <w:rsid w:val="00C03557"/>
    <w:rsid w:val="00C04C95"/>
    <w:rsid w:val="00C05681"/>
    <w:rsid w:val="00C0640D"/>
    <w:rsid w:val="00C07651"/>
    <w:rsid w:val="00C076F3"/>
    <w:rsid w:val="00C07B18"/>
    <w:rsid w:val="00C104F2"/>
    <w:rsid w:val="00C11877"/>
    <w:rsid w:val="00C11ECC"/>
    <w:rsid w:val="00C120D1"/>
    <w:rsid w:val="00C127CC"/>
    <w:rsid w:val="00C1447C"/>
    <w:rsid w:val="00C146D0"/>
    <w:rsid w:val="00C14CF0"/>
    <w:rsid w:val="00C14F61"/>
    <w:rsid w:val="00C1756D"/>
    <w:rsid w:val="00C2259D"/>
    <w:rsid w:val="00C2287E"/>
    <w:rsid w:val="00C22A0C"/>
    <w:rsid w:val="00C23103"/>
    <w:rsid w:val="00C23336"/>
    <w:rsid w:val="00C23CEC"/>
    <w:rsid w:val="00C23F8C"/>
    <w:rsid w:val="00C2421E"/>
    <w:rsid w:val="00C24811"/>
    <w:rsid w:val="00C26F55"/>
    <w:rsid w:val="00C26FB7"/>
    <w:rsid w:val="00C3036D"/>
    <w:rsid w:val="00C3091A"/>
    <w:rsid w:val="00C32C2B"/>
    <w:rsid w:val="00C32FEA"/>
    <w:rsid w:val="00C33C8C"/>
    <w:rsid w:val="00C354B3"/>
    <w:rsid w:val="00C3578D"/>
    <w:rsid w:val="00C37E9D"/>
    <w:rsid w:val="00C40AF3"/>
    <w:rsid w:val="00C41C17"/>
    <w:rsid w:val="00C42ED3"/>
    <w:rsid w:val="00C42EFE"/>
    <w:rsid w:val="00C436A5"/>
    <w:rsid w:val="00C438C0"/>
    <w:rsid w:val="00C45B53"/>
    <w:rsid w:val="00C50472"/>
    <w:rsid w:val="00C51397"/>
    <w:rsid w:val="00C51637"/>
    <w:rsid w:val="00C51BE0"/>
    <w:rsid w:val="00C51EFD"/>
    <w:rsid w:val="00C528F5"/>
    <w:rsid w:val="00C55694"/>
    <w:rsid w:val="00C55A6C"/>
    <w:rsid w:val="00C56C68"/>
    <w:rsid w:val="00C578D1"/>
    <w:rsid w:val="00C57B96"/>
    <w:rsid w:val="00C60A05"/>
    <w:rsid w:val="00C62B83"/>
    <w:rsid w:val="00C62E96"/>
    <w:rsid w:val="00C6550B"/>
    <w:rsid w:val="00C65FDE"/>
    <w:rsid w:val="00C67060"/>
    <w:rsid w:val="00C67FC1"/>
    <w:rsid w:val="00C7056F"/>
    <w:rsid w:val="00C74332"/>
    <w:rsid w:val="00C7540A"/>
    <w:rsid w:val="00C755D1"/>
    <w:rsid w:val="00C75BD4"/>
    <w:rsid w:val="00C800FC"/>
    <w:rsid w:val="00C805D7"/>
    <w:rsid w:val="00C82379"/>
    <w:rsid w:val="00C82A46"/>
    <w:rsid w:val="00C82C4C"/>
    <w:rsid w:val="00C82F33"/>
    <w:rsid w:val="00C835D6"/>
    <w:rsid w:val="00C84345"/>
    <w:rsid w:val="00C846A1"/>
    <w:rsid w:val="00C84DBD"/>
    <w:rsid w:val="00C87538"/>
    <w:rsid w:val="00C87D46"/>
    <w:rsid w:val="00C90902"/>
    <w:rsid w:val="00C90BB4"/>
    <w:rsid w:val="00C912BE"/>
    <w:rsid w:val="00C91419"/>
    <w:rsid w:val="00C916F4"/>
    <w:rsid w:val="00C937E6"/>
    <w:rsid w:val="00C937F1"/>
    <w:rsid w:val="00C9510D"/>
    <w:rsid w:val="00CA3413"/>
    <w:rsid w:val="00CA3B05"/>
    <w:rsid w:val="00CA5711"/>
    <w:rsid w:val="00CA61C7"/>
    <w:rsid w:val="00CA7469"/>
    <w:rsid w:val="00CA7C4B"/>
    <w:rsid w:val="00CB00E9"/>
    <w:rsid w:val="00CB2814"/>
    <w:rsid w:val="00CB547E"/>
    <w:rsid w:val="00CB55EB"/>
    <w:rsid w:val="00CB57DA"/>
    <w:rsid w:val="00CB71C3"/>
    <w:rsid w:val="00CB7EDB"/>
    <w:rsid w:val="00CC01FD"/>
    <w:rsid w:val="00CC17B1"/>
    <w:rsid w:val="00CC2082"/>
    <w:rsid w:val="00CC3273"/>
    <w:rsid w:val="00CC4946"/>
    <w:rsid w:val="00CC5747"/>
    <w:rsid w:val="00CC6B70"/>
    <w:rsid w:val="00CD2ADC"/>
    <w:rsid w:val="00CD2B21"/>
    <w:rsid w:val="00CD2B63"/>
    <w:rsid w:val="00CD517B"/>
    <w:rsid w:val="00CD70EE"/>
    <w:rsid w:val="00CE39BB"/>
    <w:rsid w:val="00CE3AC9"/>
    <w:rsid w:val="00CE4E05"/>
    <w:rsid w:val="00CE4F24"/>
    <w:rsid w:val="00CE61F2"/>
    <w:rsid w:val="00CE64E0"/>
    <w:rsid w:val="00CF08CA"/>
    <w:rsid w:val="00CF0C6F"/>
    <w:rsid w:val="00CF0F7F"/>
    <w:rsid w:val="00CF0FC6"/>
    <w:rsid w:val="00CF2DD3"/>
    <w:rsid w:val="00CF6126"/>
    <w:rsid w:val="00CF66D7"/>
    <w:rsid w:val="00CF6740"/>
    <w:rsid w:val="00CF6B67"/>
    <w:rsid w:val="00CF7F08"/>
    <w:rsid w:val="00D00383"/>
    <w:rsid w:val="00D019DA"/>
    <w:rsid w:val="00D01C3C"/>
    <w:rsid w:val="00D02674"/>
    <w:rsid w:val="00D02A74"/>
    <w:rsid w:val="00D02C5C"/>
    <w:rsid w:val="00D03C3C"/>
    <w:rsid w:val="00D05159"/>
    <w:rsid w:val="00D05FA5"/>
    <w:rsid w:val="00D062CF"/>
    <w:rsid w:val="00D063F2"/>
    <w:rsid w:val="00D06C71"/>
    <w:rsid w:val="00D07C76"/>
    <w:rsid w:val="00D07E00"/>
    <w:rsid w:val="00D103CD"/>
    <w:rsid w:val="00D116F1"/>
    <w:rsid w:val="00D13EF9"/>
    <w:rsid w:val="00D14385"/>
    <w:rsid w:val="00D14C6F"/>
    <w:rsid w:val="00D14E1B"/>
    <w:rsid w:val="00D14ECE"/>
    <w:rsid w:val="00D1644F"/>
    <w:rsid w:val="00D16B1D"/>
    <w:rsid w:val="00D16DD9"/>
    <w:rsid w:val="00D20BDD"/>
    <w:rsid w:val="00D21075"/>
    <w:rsid w:val="00D21A37"/>
    <w:rsid w:val="00D23E54"/>
    <w:rsid w:val="00D24E19"/>
    <w:rsid w:val="00D27651"/>
    <w:rsid w:val="00D27A2D"/>
    <w:rsid w:val="00D30993"/>
    <w:rsid w:val="00D3105B"/>
    <w:rsid w:val="00D3225F"/>
    <w:rsid w:val="00D32DFB"/>
    <w:rsid w:val="00D344E7"/>
    <w:rsid w:val="00D34E0B"/>
    <w:rsid w:val="00D359C2"/>
    <w:rsid w:val="00D35C6B"/>
    <w:rsid w:val="00D3608B"/>
    <w:rsid w:val="00D37019"/>
    <w:rsid w:val="00D37E46"/>
    <w:rsid w:val="00D41572"/>
    <w:rsid w:val="00D41AC0"/>
    <w:rsid w:val="00D444E8"/>
    <w:rsid w:val="00D4462A"/>
    <w:rsid w:val="00D44864"/>
    <w:rsid w:val="00D44B62"/>
    <w:rsid w:val="00D45CED"/>
    <w:rsid w:val="00D45FD9"/>
    <w:rsid w:val="00D467F1"/>
    <w:rsid w:val="00D4682B"/>
    <w:rsid w:val="00D46C87"/>
    <w:rsid w:val="00D53469"/>
    <w:rsid w:val="00D5493F"/>
    <w:rsid w:val="00D549B8"/>
    <w:rsid w:val="00D55B54"/>
    <w:rsid w:val="00D55BB5"/>
    <w:rsid w:val="00D57384"/>
    <w:rsid w:val="00D57A92"/>
    <w:rsid w:val="00D57E52"/>
    <w:rsid w:val="00D60DA0"/>
    <w:rsid w:val="00D61CD0"/>
    <w:rsid w:val="00D62866"/>
    <w:rsid w:val="00D638F8"/>
    <w:rsid w:val="00D644E2"/>
    <w:rsid w:val="00D67163"/>
    <w:rsid w:val="00D67337"/>
    <w:rsid w:val="00D7003C"/>
    <w:rsid w:val="00D706F8"/>
    <w:rsid w:val="00D711C4"/>
    <w:rsid w:val="00D71288"/>
    <w:rsid w:val="00D7152F"/>
    <w:rsid w:val="00D74632"/>
    <w:rsid w:val="00D7463C"/>
    <w:rsid w:val="00D74732"/>
    <w:rsid w:val="00D75285"/>
    <w:rsid w:val="00D75555"/>
    <w:rsid w:val="00D76966"/>
    <w:rsid w:val="00D76A67"/>
    <w:rsid w:val="00D778FE"/>
    <w:rsid w:val="00D8113A"/>
    <w:rsid w:val="00D81380"/>
    <w:rsid w:val="00D8375B"/>
    <w:rsid w:val="00D844E3"/>
    <w:rsid w:val="00D8517B"/>
    <w:rsid w:val="00D8706F"/>
    <w:rsid w:val="00D9272C"/>
    <w:rsid w:val="00D92812"/>
    <w:rsid w:val="00D92977"/>
    <w:rsid w:val="00D92D45"/>
    <w:rsid w:val="00D93160"/>
    <w:rsid w:val="00D9369E"/>
    <w:rsid w:val="00D936B9"/>
    <w:rsid w:val="00D96D56"/>
    <w:rsid w:val="00D97047"/>
    <w:rsid w:val="00DA04C7"/>
    <w:rsid w:val="00DA1939"/>
    <w:rsid w:val="00DA250B"/>
    <w:rsid w:val="00DA319F"/>
    <w:rsid w:val="00DA3AB4"/>
    <w:rsid w:val="00DA40E2"/>
    <w:rsid w:val="00DA4BC0"/>
    <w:rsid w:val="00DA57FB"/>
    <w:rsid w:val="00DA7BC2"/>
    <w:rsid w:val="00DB03FA"/>
    <w:rsid w:val="00DB1E80"/>
    <w:rsid w:val="00DB21A5"/>
    <w:rsid w:val="00DB343C"/>
    <w:rsid w:val="00DB374A"/>
    <w:rsid w:val="00DB3BCF"/>
    <w:rsid w:val="00DB4777"/>
    <w:rsid w:val="00DB48CD"/>
    <w:rsid w:val="00DB66E3"/>
    <w:rsid w:val="00DC1616"/>
    <w:rsid w:val="00DC29BA"/>
    <w:rsid w:val="00DC34E9"/>
    <w:rsid w:val="00DC78D7"/>
    <w:rsid w:val="00DD049D"/>
    <w:rsid w:val="00DD0B3C"/>
    <w:rsid w:val="00DD1FC3"/>
    <w:rsid w:val="00DD2EDA"/>
    <w:rsid w:val="00DD33C7"/>
    <w:rsid w:val="00DD3C63"/>
    <w:rsid w:val="00DD75B5"/>
    <w:rsid w:val="00DE1545"/>
    <w:rsid w:val="00DE2CAA"/>
    <w:rsid w:val="00DE5913"/>
    <w:rsid w:val="00DE6123"/>
    <w:rsid w:val="00DF015C"/>
    <w:rsid w:val="00DF05FB"/>
    <w:rsid w:val="00DF1465"/>
    <w:rsid w:val="00DF3DD2"/>
    <w:rsid w:val="00DF549B"/>
    <w:rsid w:val="00DF5897"/>
    <w:rsid w:val="00DF64B2"/>
    <w:rsid w:val="00DF70AF"/>
    <w:rsid w:val="00E022C5"/>
    <w:rsid w:val="00E04F76"/>
    <w:rsid w:val="00E05149"/>
    <w:rsid w:val="00E1165C"/>
    <w:rsid w:val="00E13A36"/>
    <w:rsid w:val="00E147DE"/>
    <w:rsid w:val="00E166E3"/>
    <w:rsid w:val="00E17678"/>
    <w:rsid w:val="00E204EA"/>
    <w:rsid w:val="00E2087A"/>
    <w:rsid w:val="00E20894"/>
    <w:rsid w:val="00E20CA9"/>
    <w:rsid w:val="00E23E2B"/>
    <w:rsid w:val="00E24C9E"/>
    <w:rsid w:val="00E25ADA"/>
    <w:rsid w:val="00E25B2C"/>
    <w:rsid w:val="00E2698B"/>
    <w:rsid w:val="00E26F93"/>
    <w:rsid w:val="00E30ACF"/>
    <w:rsid w:val="00E31266"/>
    <w:rsid w:val="00E3574D"/>
    <w:rsid w:val="00E40B2D"/>
    <w:rsid w:val="00E40BD3"/>
    <w:rsid w:val="00E4163B"/>
    <w:rsid w:val="00E41A24"/>
    <w:rsid w:val="00E421BF"/>
    <w:rsid w:val="00E4287B"/>
    <w:rsid w:val="00E4302B"/>
    <w:rsid w:val="00E4787B"/>
    <w:rsid w:val="00E47B5A"/>
    <w:rsid w:val="00E51D60"/>
    <w:rsid w:val="00E5223E"/>
    <w:rsid w:val="00E5247F"/>
    <w:rsid w:val="00E5261E"/>
    <w:rsid w:val="00E52BB4"/>
    <w:rsid w:val="00E52BD9"/>
    <w:rsid w:val="00E52C4B"/>
    <w:rsid w:val="00E53BCB"/>
    <w:rsid w:val="00E54849"/>
    <w:rsid w:val="00E5578D"/>
    <w:rsid w:val="00E5659A"/>
    <w:rsid w:val="00E56FE7"/>
    <w:rsid w:val="00E57208"/>
    <w:rsid w:val="00E60C93"/>
    <w:rsid w:val="00E61CEB"/>
    <w:rsid w:val="00E638C9"/>
    <w:rsid w:val="00E647EA"/>
    <w:rsid w:val="00E653E7"/>
    <w:rsid w:val="00E67056"/>
    <w:rsid w:val="00E70997"/>
    <w:rsid w:val="00E71020"/>
    <w:rsid w:val="00E7215F"/>
    <w:rsid w:val="00E73349"/>
    <w:rsid w:val="00E73A86"/>
    <w:rsid w:val="00E73DD6"/>
    <w:rsid w:val="00E74AF7"/>
    <w:rsid w:val="00E775E9"/>
    <w:rsid w:val="00E776C2"/>
    <w:rsid w:val="00E80742"/>
    <w:rsid w:val="00E811CC"/>
    <w:rsid w:val="00E81724"/>
    <w:rsid w:val="00E81A76"/>
    <w:rsid w:val="00E81B32"/>
    <w:rsid w:val="00E84BDC"/>
    <w:rsid w:val="00E8521A"/>
    <w:rsid w:val="00E867CC"/>
    <w:rsid w:val="00E87865"/>
    <w:rsid w:val="00E87CEB"/>
    <w:rsid w:val="00E90B5F"/>
    <w:rsid w:val="00E93FC0"/>
    <w:rsid w:val="00E95A13"/>
    <w:rsid w:val="00E97468"/>
    <w:rsid w:val="00EA113B"/>
    <w:rsid w:val="00EA3B28"/>
    <w:rsid w:val="00EA3BD2"/>
    <w:rsid w:val="00EA48E0"/>
    <w:rsid w:val="00EA5708"/>
    <w:rsid w:val="00EA5D7F"/>
    <w:rsid w:val="00EA7111"/>
    <w:rsid w:val="00EA7892"/>
    <w:rsid w:val="00EB028F"/>
    <w:rsid w:val="00EB0302"/>
    <w:rsid w:val="00EB0C54"/>
    <w:rsid w:val="00EB11F4"/>
    <w:rsid w:val="00EB12F3"/>
    <w:rsid w:val="00EB1563"/>
    <w:rsid w:val="00EB1D8C"/>
    <w:rsid w:val="00EB2568"/>
    <w:rsid w:val="00EB4C93"/>
    <w:rsid w:val="00EB5B77"/>
    <w:rsid w:val="00EB6B68"/>
    <w:rsid w:val="00EB746B"/>
    <w:rsid w:val="00EC0E80"/>
    <w:rsid w:val="00EC110D"/>
    <w:rsid w:val="00EC18FC"/>
    <w:rsid w:val="00EC1A64"/>
    <w:rsid w:val="00EC4256"/>
    <w:rsid w:val="00EC4DE3"/>
    <w:rsid w:val="00EC53E0"/>
    <w:rsid w:val="00EC5994"/>
    <w:rsid w:val="00EC5A15"/>
    <w:rsid w:val="00EC6DE3"/>
    <w:rsid w:val="00ED0B4A"/>
    <w:rsid w:val="00ED2059"/>
    <w:rsid w:val="00ED41B6"/>
    <w:rsid w:val="00ED5DA6"/>
    <w:rsid w:val="00EE0BB2"/>
    <w:rsid w:val="00EE0E75"/>
    <w:rsid w:val="00EE18EF"/>
    <w:rsid w:val="00EE370B"/>
    <w:rsid w:val="00EE45AB"/>
    <w:rsid w:val="00EE5CC7"/>
    <w:rsid w:val="00EE679E"/>
    <w:rsid w:val="00EE6D9D"/>
    <w:rsid w:val="00EE7DB2"/>
    <w:rsid w:val="00EF05CB"/>
    <w:rsid w:val="00EF0D25"/>
    <w:rsid w:val="00EF1AA9"/>
    <w:rsid w:val="00EF294E"/>
    <w:rsid w:val="00EF325D"/>
    <w:rsid w:val="00EF5153"/>
    <w:rsid w:val="00EF6139"/>
    <w:rsid w:val="00EF79F5"/>
    <w:rsid w:val="00F038A1"/>
    <w:rsid w:val="00F03BC3"/>
    <w:rsid w:val="00F04036"/>
    <w:rsid w:val="00F041EC"/>
    <w:rsid w:val="00F10E43"/>
    <w:rsid w:val="00F11B0B"/>
    <w:rsid w:val="00F11F5B"/>
    <w:rsid w:val="00F1215F"/>
    <w:rsid w:val="00F13B08"/>
    <w:rsid w:val="00F149CE"/>
    <w:rsid w:val="00F14DF3"/>
    <w:rsid w:val="00F16053"/>
    <w:rsid w:val="00F163D7"/>
    <w:rsid w:val="00F20B13"/>
    <w:rsid w:val="00F21C17"/>
    <w:rsid w:val="00F24297"/>
    <w:rsid w:val="00F2484D"/>
    <w:rsid w:val="00F30578"/>
    <w:rsid w:val="00F31FFC"/>
    <w:rsid w:val="00F33064"/>
    <w:rsid w:val="00F33DCC"/>
    <w:rsid w:val="00F368A4"/>
    <w:rsid w:val="00F37473"/>
    <w:rsid w:val="00F40140"/>
    <w:rsid w:val="00F40897"/>
    <w:rsid w:val="00F41B1A"/>
    <w:rsid w:val="00F41CFA"/>
    <w:rsid w:val="00F430CA"/>
    <w:rsid w:val="00F443B2"/>
    <w:rsid w:val="00F4644C"/>
    <w:rsid w:val="00F46CEB"/>
    <w:rsid w:val="00F47065"/>
    <w:rsid w:val="00F50843"/>
    <w:rsid w:val="00F50ABD"/>
    <w:rsid w:val="00F50EA1"/>
    <w:rsid w:val="00F51065"/>
    <w:rsid w:val="00F540A9"/>
    <w:rsid w:val="00F54254"/>
    <w:rsid w:val="00F5474D"/>
    <w:rsid w:val="00F552A9"/>
    <w:rsid w:val="00F55BCA"/>
    <w:rsid w:val="00F56CFC"/>
    <w:rsid w:val="00F576FC"/>
    <w:rsid w:val="00F57D52"/>
    <w:rsid w:val="00F6120A"/>
    <w:rsid w:val="00F61373"/>
    <w:rsid w:val="00F61BBA"/>
    <w:rsid w:val="00F61BE3"/>
    <w:rsid w:val="00F61E29"/>
    <w:rsid w:val="00F626E5"/>
    <w:rsid w:val="00F644A8"/>
    <w:rsid w:val="00F64505"/>
    <w:rsid w:val="00F64E79"/>
    <w:rsid w:val="00F67C51"/>
    <w:rsid w:val="00F703CB"/>
    <w:rsid w:val="00F7186E"/>
    <w:rsid w:val="00F72744"/>
    <w:rsid w:val="00F7412C"/>
    <w:rsid w:val="00F74CF3"/>
    <w:rsid w:val="00F75438"/>
    <w:rsid w:val="00F756F6"/>
    <w:rsid w:val="00F771ED"/>
    <w:rsid w:val="00F77329"/>
    <w:rsid w:val="00F80613"/>
    <w:rsid w:val="00F81641"/>
    <w:rsid w:val="00F81A7D"/>
    <w:rsid w:val="00F81B15"/>
    <w:rsid w:val="00F83EA3"/>
    <w:rsid w:val="00F83EA8"/>
    <w:rsid w:val="00F83F74"/>
    <w:rsid w:val="00F87E19"/>
    <w:rsid w:val="00F87F1C"/>
    <w:rsid w:val="00F907C4"/>
    <w:rsid w:val="00F90D6C"/>
    <w:rsid w:val="00F91EE3"/>
    <w:rsid w:val="00F91FAF"/>
    <w:rsid w:val="00F9334E"/>
    <w:rsid w:val="00F95C19"/>
    <w:rsid w:val="00F96036"/>
    <w:rsid w:val="00FA30C8"/>
    <w:rsid w:val="00FA3522"/>
    <w:rsid w:val="00FA5B92"/>
    <w:rsid w:val="00FA5E87"/>
    <w:rsid w:val="00FA6629"/>
    <w:rsid w:val="00FA782F"/>
    <w:rsid w:val="00FB19E9"/>
    <w:rsid w:val="00FB28EF"/>
    <w:rsid w:val="00FB373E"/>
    <w:rsid w:val="00FB37A9"/>
    <w:rsid w:val="00FB3B1F"/>
    <w:rsid w:val="00FB3C5A"/>
    <w:rsid w:val="00FB3D46"/>
    <w:rsid w:val="00FB450A"/>
    <w:rsid w:val="00FB497C"/>
    <w:rsid w:val="00FB5391"/>
    <w:rsid w:val="00FB5933"/>
    <w:rsid w:val="00FB5DAF"/>
    <w:rsid w:val="00FB64BF"/>
    <w:rsid w:val="00FB7820"/>
    <w:rsid w:val="00FC0512"/>
    <w:rsid w:val="00FC12E4"/>
    <w:rsid w:val="00FC145F"/>
    <w:rsid w:val="00FC3E9F"/>
    <w:rsid w:val="00FD0C27"/>
    <w:rsid w:val="00FD0CE9"/>
    <w:rsid w:val="00FD1227"/>
    <w:rsid w:val="00FD19BA"/>
    <w:rsid w:val="00FD1C41"/>
    <w:rsid w:val="00FD2CF6"/>
    <w:rsid w:val="00FD2DCF"/>
    <w:rsid w:val="00FD2EA2"/>
    <w:rsid w:val="00FD3035"/>
    <w:rsid w:val="00FD3E27"/>
    <w:rsid w:val="00FD75B4"/>
    <w:rsid w:val="00FE1782"/>
    <w:rsid w:val="00FE2FE5"/>
    <w:rsid w:val="00FE5B9F"/>
    <w:rsid w:val="00FE65B2"/>
    <w:rsid w:val="00FE6CE6"/>
    <w:rsid w:val="00FF02CC"/>
    <w:rsid w:val="00FF18A3"/>
    <w:rsid w:val="00FF2C80"/>
    <w:rsid w:val="00FF3642"/>
    <w:rsid w:val="00FF381F"/>
    <w:rsid w:val="00FF3D80"/>
    <w:rsid w:val="00FF5F76"/>
    <w:rsid w:val="00FF75F1"/>
    <w:rsid w:val="00FF75F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2F62B"/>
  <w15:docId w15:val="{B21B37E5-9B9F-4B3A-81E7-7FAF80DB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7F"/>
    <w:rPr>
      <w:sz w:val="24"/>
    </w:rPr>
  </w:style>
  <w:style w:type="paragraph" w:styleId="Heading1">
    <w:name w:val="heading 1"/>
    <w:aliases w:val="Part"/>
    <w:basedOn w:val="Normal"/>
    <w:next w:val="Heading2"/>
    <w:qFormat/>
    <w:rsid w:val="00B0007F"/>
    <w:pPr>
      <w:spacing w:after="240"/>
      <w:jc w:val="center"/>
      <w:outlineLvl w:val="0"/>
    </w:pPr>
    <w:rPr>
      <w:rFonts w:ascii="Arial" w:hAnsi="Arial"/>
      <w:b/>
      <w:sz w:val="32"/>
    </w:rPr>
  </w:style>
  <w:style w:type="paragraph" w:styleId="Heading2">
    <w:name w:val="heading 2"/>
    <w:aliases w:val="Chapter Title"/>
    <w:basedOn w:val="Normal"/>
    <w:next w:val="Heading4"/>
    <w:qFormat/>
    <w:rsid w:val="00B0007F"/>
    <w:pPr>
      <w:spacing w:after="240"/>
      <w:jc w:val="center"/>
      <w:outlineLvl w:val="1"/>
    </w:pPr>
    <w:rPr>
      <w:rFonts w:ascii="Arial" w:hAnsi="Arial"/>
      <w:b/>
      <w:sz w:val="32"/>
    </w:rPr>
  </w:style>
  <w:style w:type="paragraph" w:styleId="Heading3">
    <w:name w:val="heading 3"/>
    <w:aliases w:val="Section"/>
    <w:basedOn w:val="Normal"/>
    <w:next w:val="Heading4"/>
    <w:qFormat/>
    <w:rsid w:val="00B0007F"/>
    <w:pPr>
      <w:spacing w:after="240"/>
      <w:jc w:val="center"/>
      <w:outlineLvl w:val="2"/>
    </w:pPr>
    <w:rPr>
      <w:rFonts w:ascii="Arial" w:hAnsi="Arial"/>
      <w:b/>
      <w:sz w:val="32"/>
    </w:rPr>
  </w:style>
  <w:style w:type="paragraph" w:styleId="Heading4">
    <w:name w:val="heading 4"/>
    <w:aliases w:val="Map Title"/>
    <w:basedOn w:val="Normal"/>
    <w:next w:val="Normal"/>
    <w:qFormat/>
    <w:rsid w:val="00731B7C"/>
    <w:pPr>
      <w:outlineLvl w:val="3"/>
    </w:pPr>
    <w:rPr>
      <w:b/>
      <w:sz w:val="32"/>
    </w:rPr>
  </w:style>
  <w:style w:type="paragraph" w:styleId="Heading5">
    <w:name w:val="heading 5"/>
    <w:aliases w:val="Block Label"/>
    <w:basedOn w:val="Normal"/>
    <w:next w:val="Normal"/>
    <w:qFormat/>
    <w:rsid w:val="00B0007F"/>
    <w:pPr>
      <w:outlineLvl w:val="4"/>
    </w:pPr>
    <w:rPr>
      <w:b/>
      <w:sz w:val="22"/>
    </w:rPr>
  </w:style>
  <w:style w:type="paragraph" w:styleId="Heading6">
    <w:name w:val="heading 6"/>
    <w:basedOn w:val="Normal"/>
    <w:next w:val="Normal"/>
    <w:qFormat/>
    <w:rsid w:val="00B0007F"/>
    <w:pPr>
      <w:spacing w:before="240" w:after="60"/>
      <w:outlineLvl w:val="5"/>
    </w:pPr>
    <w:rPr>
      <w:i/>
      <w:sz w:val="22"/>
    </w:rPr>
  </w:style>
  <w:style w:type="paragraph" w:styleId="Heading7">
    <w:name w:val="heading 7"/>
    <w:basedOn w:val="Normal"/>
    <w:next w:val="Normal"/>
    <w:qFormat/>
    <w:rsid w:val="00B0007F"/>
    <w:pPr>
      <w:spacing w:before="240" w:after="60"/>
      <w:outlineLvl w:val="6"/>
    </w:pPr>
    <w:rPr>
      <w:rFonts w:ascii="Arial" w:hAnsi="Arial"/>
      <w:sz w:val="20"/>
    </w:rPr>
  </w:style>
  <w:style w:type="paragraph" w:styleId="Heading8">
    <w:name w:val="heading 8"/>
    <w:basedOn w:val="Normal"/>
    <w:next w:val="Normal"/>
    <w:qFormat/>
    <w:rsid w:val="00B0007F"/>
    <w:pPr>
      <w:spacing w:before="240" w:after="60"/>
      <w:outlineLvl w:val="7"/>
    </w:pPr>
    <w:rPr>
      <w:rFonts w:ascii="Arial" w:hAnsi="Arial"/>
      <w:i/>
      <w:sz w:val="20"/>
    </w:rPr>
  </w:style>
  <w:style w:type="paragraph" w:styleId="Heading9">
    <w:name w:val="heading 9"/>
    <w:basedOn w:val="Normal"/>
    <w:next w:val="Normal"/>
    <w:qFormat/>
    <w:rsid w:val="00B0007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07F"/>
    <w:pPr>
      <w:tabs>
        <w:tab w:val="center" w:pos="4320"/>
        <w:tab w:val="right" w:pos="8640"/>
      </w:tabs>
    </w:pPr>
  </w:style>
  <w:style w:type="paragraph" w:styleId="MacroText">
    <w:name w:val="macro"/>
    <w:semiHidden/>
    <w:rsid w:val="00B000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B0007F"/>
    <w:pPr>
      <w:pBdr>
        <w:top w:val="single" w:sz="6" w:space="1" w:color="auto"/>
        <w:between w:val="single" w:sz="6" w:space="1" w:color="auto"/>
      </w:pBdr>
      <w:spacing w:before="240"/>
      <w:ind w:left="1700"/>
    </w:pPr>
  </w:style>
  <w:style w:type="paragraph" w:styleId="BlockText">
    <w:name w:val="Block Text"/>
    <w:basedOn w:val="Normal"/>
    <w:rsid w:val="00B0007F"/>
  </w:style>
  <w:style w:type="paragraph" w:customStyle="1" w:styleId="BulletText1">
    <w:name w:val="Bullet Text 1"/>
    <w:basedOn w:val="Normal"/>
    <w:rsid w:val="00B0007F"/>
    <w:pPr>
      <w:ind w:left="187" w:hanging="187"/>
    </w:pPr>
  </w:style>
  <w:style w:type="paragraph" w:customStyle="1" w:styleId="BulletText2">
    <w:name w:val="Bullet Text 2"/>
    <w:basedOn w:val="BulletText1"/>
    <w:rsid w:val="00B0007F"/>
    <w:pPr>
      <w:ind w:left="360"/>
    </w:pPr>
  </w:style>
  <w:style w:type="paragraph" w:customStyle="1" w:styleId="ContinuedOnNextPa">
    <w:name w:val="Continued On Next Pa"/>
    <w:basedOn w:val="Normal"/>
    <w:next w:val="Normal"/>
    <w:rsid w:val="00B0007F"/>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B0007F"/>
    <w:rPr>
      <w:b/>
      <w:sz w:val="22"/>
    </w:rPr>
  </w:style>
  <w:style w:type="paragraph" w:customStyle="1" w:styleId="MapTitleContinued">
    <w:name w:val="Map Title. Continued"/>
    <w:basedOn w:val="Normal"/>
    <w:rsid w:val="00B0007F"/>
    <w:pPr>
      <w:spacing w:after="240"/>
      <w:jc w:val="both"/>
    </w:pPr>
    <w:rPr>
      <w:rFonts w:ascii="Helvetica" w:hAnsi="Helvetica"/>
      <w:b/>
    </w:rPr>
  </w:style>
  <w:style w:type="paragraph" w:customStyle="1" w:styleId="MemoLine">
    <w:name w:val="Memo Line"/>
    <w:basedOn w:val="BlockLine"/>
    <w:next w:val="Normal"/>
    <w:rsid w:val="00B0007F"/>
    <w:pPr>
      <w:ind w:left="0"/>
    </w:pPr>
  </w:style>
  <w:style w:type="paragraph" w:styleId="Footer">
    <w:name w:val="footer"/>
    <w:basedOn w:val="Normal"/>
    <w:link w:val="FooterChar"/>
    <w:rsid w:val="00B0007F"/>
    <w:pPr>
      <w:tabs>
        <w:tab w:val="center" w:pos="4320"/>
        <w:tab w:val="right" w:pos="8640"/>
      </w:tabs>
    </w:pPr>
  </w:style>
  <w:style w:type="character" w:styleId="PageNumber">
    <w:name w:val="page number"/>
    <w:basedOn w:val="DefaultParagraphFont"/>
    <w:rsid w:val="00B0007F"/>
  </w:style>
  <w:style w:type="paragraph" w:customStyle="1" w:styleId="TableText">
    <w:name w:val="Table Text"/>
    <w:basedOn w:val="Normal"/>
    <w:rsid w:val="00B0007F"/>
  </w:style>
  <w:style w:type="paragraph" w:customStyle="1" w:styleId="NoteText">
    <w:name w:val="Note Text"/>
    <w:basedOn w:val="BlockText"/>
    <w:rsid w:val="00B0007F"/>
  </w:style>
  <w:style w:type="paragraph" w:customStyle="1" w:styleId="TableHeaderText">
    <w:name w:val="Table Header Text"/>
    <w:basedOn w:val="TableText"/>
    <w:rsid w:val="00B0007F"/>
    <w:pPr>
      <w:jc w:val="center"/>
    </w:pPr>
    <w:rPr>
      <w:b/>
    </w:rPr>
  </w:style>
  <w:style w:type="paragraph" w:customStyle="1" w:styleId="EmbeddedText">
    <w:name w:val="Embedded Text"/>
    <w:basedOn w:val="TableText"/>
    <w:rsid w:val="00B0007F"/>
  </w:style>
  <w:style w:type="paragraph" w:styleId="TOC1">
    <w:name w:val="toc 1"/>
    <w:basedOn w:val="Normal"/>
    <w:next w:val="Normal"/>
    <w:semiHidden/>
    <w:rsid w:val="00B0007F"/>
    <w:pPr>
      <w:tabs>
        <w:tab w:val="right" w:leader="dot" w:pos="10800"/>
      </w:tabs>
    </w:pPr>
  </w:style>
  <w:style w:type="paragraph" w:styleId="TOC2">
    <w:name w:val="toc 2"/>
    <w:basedOn w:val="Normal"/>
    <w:next w:val="Normal"/>
    <w:semiHidden/>
    <w:rsid w:val="00B0007F"/>
    <w:pPr>
      <w:tabs>
        <w:tab w:val="right" w:leader="dot" w:pos="10800"/>
      </w:tabs>
      <w:ind w:left="240"/>
    </w:pPr>
  </w:style>
  <w:style w:type="paragraph" w:styleId="BodyText3">
    <w:name w:val="Body Text 3"/>
    <w:basedOn w:val="Normal"/>
    <w:rsid w:val="00B0007F"/>
    <w:rPr>
      <w:b/>
      <w:sz w:val="18"/>
    </w:rPr>
  </w:style>
  <w:style w:type="paragraph" w:styleId="BodyText2">
    <w:name w:val="Body Text 2"/>
    <w:basedOn w:val="Normal"/>
    <w:rsid w:val="00B0007F"/>
    <w:rPr>
      <w:b/>
      <w:sz w:val="16"/>
    </w:rPr>
  </w:style>
  <w:style w:type="paragraph" w:styleId="Title">
    <w:name w:val="Title"/>
    <w:basedOn w:val="Normal"/>
    <w:qFormat/>
    <w:rsid w:val="00B0007F"/>
    <w:pPr>
      <w:tabs>
        <w:tab w:val="left" w:pos="900"/>
        <w:tab w:val="left" w:pos="1980"/>
        <w:tab w:val="left" w:pos="2880"/>
        <w:tab w:val="left" w:pos="4140"/>
        <w:tab w:val="left" w:pos="5040"/>
        <w:tab w:val="left" w:pos="6300"/>
        <w:tab w:val="left" w:pos="7200"/>
      </w:tabs>
      <w:jc w:val="center"/>
    </w:pPr>
    <w:rPr>
      <w:b/>
      <w:sz w:val="28"/>
    </w:rPr>
  </w:style>
  <w:style w:type="character" w:styleId="Hyperlink">
    <w:name w:val="Hyperlink"/>
    <w:basedOn w:val="DefaultParagraphFont"/>
    <w:uiPriority w:val="99"/>
    <w:rsid w:val="00B0007F"/>
    <w:rPr>
      <w:color w:val="0000FF"/>
      <w:u w:val="single"/>
    </w:rPr>
  </w:style>
  <w:style w:type="paragraph" w:customStyle="1" w:styleId="Extmemo">
    <w:name w:val="Extmemo"/>
    <w:basedOn w:val="Normal"/>
    <w:rsid w:val="00B0007F"/>
    <w:pPr>
      <w:spacing w:line="240" w:lineRule="exact"/>
    </w:pPr>
    <w:rPr>
      <w:rFonts w:ascii="Times" w:hAnsi="Times"/>
    </w:rPr>
  </w:style>
  <w:style w:type="paragraph" w:styleId="PlainText">
    <w:name w:val="Plain Text"/>
    <w:basedOn w:val="Normal"/>
    <w:rsid w:val="00B0007F"/>
    <w:rPr>
      <w:rFonts w:ascii="Courier New" w:hAnsi="Courier New"/>
      <w:sz w:val="20"/>
    </w:rPr>
  </w:style>
  <w:style w:type="paragraph" w:styleId="DocumentMap">
    <w:name w:val="Document Map"/>
    <w:basedOn w:val="Normal"/>
    <w:semiHidden/>
    <w:rsid w:val="00B0007F"/>
    <w:pPr>
      <w:shd w:val="clear" w:color="auto" w:fill="000080"/>
    </w:pPr>
    <w:rPr>
      <w:rFonts w:ascii="Tahoma" w:hAnsi="Tahoma"/>
    </w:rPr>
  </w:style>
  <w:style w:type="character" w:styleId="FollowedHyperlink">
    <w:name w:val="FollowedHyperlink"/>
    <w:basedOn w:val="DefaultParagraphFont"/>
    <w:uiPriority w:val="99"/>
    <w:rsid w:val="00B0007F"/>
    <w:rPr>
      <w:color w:val="800080"/>
      <w:u w:val="single"/>
    </w:rPr>
  </w:style>
  <w:style w:type="paragraph" w:styleId="BodyText">
    <w:name w:val="Body Text"/>
    <w:basedOn w:val="Normal"/>
    <w:rsid w:val="00B0007F"/>
    <w:rPr>
      <w:sz w:val="16"/>
    </w:rPr>
  </w:style>
  <w:style w:type="character" w:styleId="CommentReference">
    <w:name w:val="annotation reference"/>
    <w:basedOn w:val="DefaultParagraphFont"/>
    <w:uiPriority w:val="99"/>
    <w:semiHidden/>
    <w:rsid w:val="00B0007F"/>
    <w:rPr>
      <w:sz w:val="16"/>
    </w:rPr>
  </w:style>
  <w:style w:type="paragraph" w:styleId="CommentText">
    <w:name w:val="annotation text"/>
    <w:basedOn w:val="Normal"/>
    <w:link w:val="CommentTextChar"/>
    <w:uiPriority w:val="99"/>
    <w:rsid w:val="00B0007F"/>
    <w:rPr>
      <w:sz w:val="20"/>
    </w:rPr>
  </w:style>
  <w:style w:type="paragraph" w:styleId="Caption">
    <w:name w:val="caption"/>
    <w:basedOn w:val="Normal"/>
    <w:next w:val="Normal"/>
    <w:qFormat/>
    <w:rsid w:val="00B0007F"/>
    <w:pPr>
      <w:spacing w:before="120" w:after="120"/>
    </w:pPr>
    <w:rPr>
      <w:b/>
    </w:rPr>
  </w:style>
  <w:style w:type="paragraph" w:customStyle="1" w:styleId="BodySingle">
    <w:name w:val="BodySingle"/>
    <w:rsid w:val="00B0007F"/>
    <w:rPr>
      <w:rFonts w:ascii="Arial" w:hAnsi="Arial"/>
      <w:sz w:val="24"/>
    </w:rPr>
  </w:style>
  <w:style w:type="paragraph" w:styleId="BalloonText">
    <w:name w:val="Balloon Text"/>
    <w:basedOn w:val="Normal"/>
    <w:semiHidden/>
    <w:rsid w:val="00D23E54"/>
    <w:rPr>
      <w:rFonts w:ascii="Tahoma" w:hAnsi="Tahoma" w:cs="Tahoma"/>
      <w:sz w:val="16"/>
      <w:szCs w:val="16"/>
    </w:rPr>
  </w:style>
  <w:style w:type="table" w:styleId="TableGrid">
    <w:name w:val="Table Grid"/>
    <w:basedOn w:val="TableNormal"/>
    <w:rsid w:val="0027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2C80"/>
    <w:pPr>
      <w:autoSpaceDE w:val="0"/>
      <w:autoSpaceDN w:val="0"/>
      <w:adjustRightInd w:val="0"/>
    </w:pPr>
    <w:rPr>
      <w:color w:val="000000"/>
      <w:sz w:val="24"/>
      <w:szCs w:val="24"/>
    </w:rPr>
  </w:style>
  <w:style w:type="paragraph" w:customStyle="1" w:styleId="Normal11pt">
    <w:name w:val="Normal + 11pt"/>
    <w:basedOn w:val="NormalWeb"/>
    <w:link w:val="Normal11ptChar"/>
    <w:rsid w:val="005A5737"/>
    <w:pPr>
      <w:spacing w:before="100" w:beforeAutospacing="1" w:after="100" w:afterAutospacing="1"/>
    </w:pPr>
    <w:rPr>
      <w:rFonts w:ascii="Arial" w:hAnsi="Arial" w:cs="Arial"/>
    </w:rPr>
  </w:style>
  <w:style w:type="paragraph" w:styleId="NormalWeb">
    <w:name w:val="Normal (Web)"/>
    <w:basedOn w:val="Normal"/>
    <w:rsid w:val="005A5737"/>
    <w:rPr>
      <w:szCs w:val="24"/>
    </w:rPr>
  </w:style>
  <w:style w:type="character" w:customStyle="1" w:styleId="Normal11ptChar">
    <w:name w:val="Normal + 11pt Char"/>
    <w:basedOn w:val="DefaultParagraphFont"/>
    <w:link w:val="Normal11pt"/>
    <w:rsid w:val="005A5737"/>
    <w:rPr>
      <w:rFonts w:ascii="Arial" w:hAnsi="Arial" w:cs="Arial"/>
      <w:sz w:val="24"/>
      <w:szCs w:val="24"/>
      <w:lang w:val="en-US" w:eastAsia="en-US" w:bidi="ar-SA"/>
    </w:rPr>
  </w:style>
  <w:style w:type="character" w:styleId="Strong">
    <w:name w:val="Strong"/>
    <w:basedOn w:val="DefaultParagraphFont"/>
    <w:uiPriority w:val="22"/>
    <w:qFormat/>
    <w:rsid w:val="009B53F2"/>
    <w:rPr>
      <w:b/>
      <w:bCs/>
    </w:rPr>
  </w:style>
  <w:style w:type="character" w:customStyle="1" w:styleId="FooterChar">
    <w:name w:val="Footer Char"/>
    <w:basedOn w:val="DefaultParagraphFont"/>
    <w:link w:val="Footer"/>
    <w:uiPriority w:val="99"/>
    <w:rsid w:val="007043DB"/>
    <w:rPr>
      <w:sz w:val="24"/>
    </w:rPr>
  </w:style>
  <w:style w:type="paragraph" w:customStyle="1" w:styleId="font5">
    <w:name w:val="font5"/>
    <w:basedOn w:val="Normal"/>
    <w:rsid w:val="0020570E"/>
    <w:pPr>
      <w:spacing w:before="100" w:beforeAutospacing="1" w:after="100" w:afterAutospacing="1"/>
    </w:pPr>
    <w:rPr>
      <w:szCs w:val="24"/>
    </w:rPr>
  </w:style>
  <w:style w:type="paragraph" w:customStyle="1" w:styleId="font6">
    <w:name w:val="font6"/>
    <w:basedOn w:val="Normal"/>
    <w:rsid w:val="0020570E"/>
    <w:pPr>
      <w:spacing w:before="100" w:beforeAutospacing="1" w:after="100" w:afterAutospacing="1"/>
    </w:pPr>
    <w:rPr>
      <w:b/>
      <w:bCs/>
      <w:sz w:val="28"/>
      <w:szCs w:val="28"/>
    </w:rPr>
  </w:style>
  <w:style w:type="paragraph" w:customStyle="1" w:styleId="xl65">
    <w:name w:val="xl65"/>
    <w:basedOn w:val="Normal"/>
    <w:rsid w:val="0020570E"/>
    <w:pPr>
      <w:spacing w:before="100" w:beforeAutospacing="1" w:after="100" w:afterAutospacing="1"/>
      <w:jc w:val="center"/>
      <w:textAlignment w:val="top"/>
    </w:pPr>
    <w:rPr>
      <w:b/>
      <w:bCs/>
      <w:sz w:val="22"/>
      <w:szCs w:val="22"/>
      <w:u w:val="single"/>
    </w:rPr>
  </w:style>
  <w:style w:type="paragraph" w:customStyle="1" w:styleId="xl66">
    <w:name w:val="xl66"/>
    <w:basedOn w:val="Normal"/>
    <w:rsid w:val="0020570E"/>
    <w:pPr>
      <w:spacing w:before="100" w:beforeAutospacing="1" w:after="100" w:afterAutospacing="1"/>
    </w:pPr>
    <w:rPr>
      <w:szCs w:val="24"/>
    </w:rPr>
  </w:style>
  <w:style w:type="paragraph" w:customStyle="1" w:styleId="xl67">
    <w:name w:val="xl67"/>
    <w:basedOn w:val="Normal"/>
    <w:rsid w:val="0020570E"/>
    <w:pPr>
      <w:spacing w:before="100" w:beforeAutospacing="1" w:after="100" w:afterAutospacing="1"/>
    </w:pPr>
    <w:rPr>
      <w:sz w:val="12"/>
      <w:szCs w:val="12"/>
    </w:rPr>
  </w:style>
  <w:style w:type="paragraph" w:customStyle="1" w:styleId="xl68">
    <w:name w:val="xl68"/>
    <w:basedOn w:val="Normal"/>
    <w:rsid w:val="0020570E"/>
    <w:pPr>
      <w:spacing w:before="100" w:beforeAutospacing="1" w:after="100" w:afterAutospacing="1"/>
    </w:pPr>
    <w:rPr>
      <w:b/>
      <w:bCs/>
      <w:sz w:val="22"/>
      <w:szCs w:val="22"/>
    </w:rPr>
  </w:style>
  <w:style w:type="paragraph" w:customStyle="1" w:styleId="xl69">
    <w:name w:val="xl69"/>
    <w:basedOn w:val="Normal"/>
    <w:rsid w:val="0020570E"/>
    <w:pPr>
      <w:spacing w:before="100" w:beforeAutospacing="1" w:after="100" w:afterAutospacing="1"/>
      <w:jc w:val="center"/>
      <w:textAlignment w:val="top"/>
    </w:pPr>
    <w:rPr>
      <w:b/>
      <w:bCs/>
      <w:sz w:val="22"/>
      <w:szCs w:val="22"/>
      <w:u w:val="single"/>
    </w:rPr>
  </w:style>
  <w:style w:type="paragraph" w:customStyle="1" w:styleId="xl70">
    <w:name w:val="xl70"/>
    <w:basedOn w:val="Normal"/>
    <w:rsid w:val="0020570E"/>
    <w:pPr>
      <w:spacing w:before="100" w:beforeAutospacing="1" w:after="100" w:afterAutospacing="1"/>
    </w:pPr>
    <w:rPr>
      <w:b/>
      <w:bCs/>
      <w:sz w:val="28"/>
      <w:szCs w:val="28"/>
    </w:rPr>
  </w:style>
  <w:style w:type="paragraph" w:customStyle="1" w:styleId="xl72">
    <w:name w:val="xl72"/>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3">
    <w:name w:val="xl73"/>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4">
    <w:name w:val="xl74"/>
    <w:basedOn w:val="Normal"/>
    <w:rsid w:val="00205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0"/>
    </w:rPr>
  </w:style>
  <w:style w:type="paragraph" w:customStyle="1" w:styleId="xl75">
    <w:name w:val="xl75"/>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rPr>
  </w:style>
  <w:style w:type="paragraph" w:customStyle="1" w:styleId="xl76">
    <w:name w:val="xl76"/>
    <w:basedOn w:val="Normal"/>
    <w:rsid w:val="00205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sz w:val="20"/>
    </w:rPr>
  </w:style>
  <w:style w:type="paragraph" w:customStyle="1" w:styleId="xl77">
    <w:name w:val="xl77"/>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styleId="Revision">
    <w:name w:val="Revision"/>
    <w:hidden/>
    <w:uiPriority w:val="99"/>
    <w:semiHidden/>
    <w:rsid w:val="005618BB"/>
    <w:rPr>
      <w:sz w:val="24"/>
    </w:rPr>
  </w:style>
  <w:style w:type="paragraph" w:customStyle="1" w:styleId="msonormal0">
    <w:name w:val="msonormal"/>
    <w:basedOn w:val="Normal"/>
    <w:rsid w:val="0079480F"/>
    <w:pPr>
      <w:spacing w:before="100" w:beforeAutospacing="1" w:after="100" w:afterAutospacing="1"/>
    </w:pPr>
    <w:rPr>
      <w:szCs w:val="24"/>
    </w:rPr>
  </w:style>
  <w:style w:type="paragraph" w:customStyle="1" w:styleId="xl78">
    <w:name w:val="xl78"/>
    <w:basedOn w:val="Normal"/>
    <w:rsid w:val="007948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0"/>
    </w:rPr>
  </w:style>
  <w:style w:type="character" w:customStyle="1" w:styleId="HeaderChar">
    <w:name w:val="Header Char"/>
    <w:basedOn w:val="DefaultParagraphFont"/>
    <w:link w:val="Header"/>
    <w:uiPriority w:val="99"/>
    <w:rsid w:val="006C2E6C"/>
    <w:rPr>
      <w:sz w:val="24"/>
    </w:rPr>
  </w:style>
  <w:style w:type="paragraph" w:styleId="ListParagraph">
    <w:name w:val="List Paragraph"/>
    <w:basedOn w:val="Normal"/>
    <w:uiPriority w:val="34"/>
    <w:qFormat/>
    <w:rsid w:val="00260D48"/>
    <w:pPr>
      <w:ind w:left="720"/>
      <w:contextualSpacing/>
    </w:pPr>
  </w:style>
  <w:style w:type="character" w:styleId="PlaceholderText">
    <w:name w:val="Placeholder Text"/>
    <w:basedOn w:val="DefaultParagraphFont"/>
    <w:uiPriority w:val="99"/>
    <w:semiHidden/>
    <w:rsid w:val="005D21AF"/>
    <w:rPr>
      <w:color w:val="808080"/>
    </w:rPr>
  </w:style>
  <w:style w:type="character" w:styleId="Emphasis">
    <w:name w:val="Emphasis"/>
    <w:qFormat/>
    <w:rsid w:val="005D21AF"/>
    <w:rPr>
      <w:i/>
      <w:iCs/>
    </w:rPr>
  </w:style>
  <w:style w:type="paragraph" w:customStyle="1" w:styleId="xl71">
    <w:name w:val="xl71"/>
    <w:basedOn w:val="Normal"/>
    <w:rsid w:val="002E3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9">
    <w:name w:val="xl79"/>
    <w:basedOn w:val="Normal"/>
    <w:rsid w:val="002E3B62"/>
    <w:pPr>
      <w:spacing w:before="100" w:beforeAutospacing="1" w:after="100" w:afterAutospacing="1"/>
    </w:pPr>
    <w:rPr>
      <w:b/>
      <w:bCs/>
      <w:sz w:val="22"/>
      <w:szCs w:val="22"/>
    </w:rPr>
  </w:style>
  <w:style w:type="character" w:customStyle="1" w:styleId="CommentTextChar">
    <w:name w:val="Comment Text Char"/>
    <w:basedOn w:val="DefaultParagraphFont"/>
    <w:link w:val="CommentText"/>
    <w:uiPriority w:val="99"/>
    <w:rsid w:val="00AC799B"/>
  </w:style>
  <w:style w:type="character" w:customStyle="1" w:styleId="normaltextrun">
    <w:name w:val="normaltextrun"/>
    <w:basedOn w:val="DefaultParagraphFont"/>
    <w:rsid w:val="004A5613"/>
  </w:style>
  <w:style w:type="character" w:customStyle="1" w:styleId="eop">
    <w:name w:val="eop"/>
    <w:basedOn w:val="DefaultParagraphFont"/>
    <w:rsid w:val="004A5613"/>
  </w:style>
  <w:style w:type="paragraph" w:styleId="CommentSubject">
    <w:name w:val="annotation subject"/>
    <w:basedOn w:val="CommentText"/>
    <w:next w:val="CommentText"/>
    <w:link w:val="CommentSubjectChar"/>
    <w:semiHidden/>
    <w:unhideWhenUsed/>
    <w:rsid w:val="009B469E"/>
    <w:rPr>
      <w:b/>
      <w:bCs/>
    </w:rPr>
  </w:style>
  <w:style w:type="character" w:customStyle="1" w:styleId="CommentSubjectChar">
    <w:name w:val="Comment Subject Char"/>
    <w:basedOn w:val="CommentTextChar"/>
    <w:link w:val="CommentSubject"/>
    <w:semiHidden/>
    <w:rsid w:val="009B469E"/>
    <w:rPr>
      <w:b/>
      <w:bCs/>
    </w:rPr>
  </w:style>
  <w:style w:type="character" w:styleId="UnresolvedMention">
    <w:name w:val="Unresolved Mention"/>
    <w:basedOn w:val="DefaultParagraphFont"/>
    <w:uiPriority w:val="99"/>
    <w:semiHidden/>
    <w:unhideWhenUsed/>
    <w:rsid w:val="00633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8805">
      <w:bodyDiv w:val="1"/>
      <w:marLeft w:val="0"/>
      <w:marRight w:val="0"/>
      <w:marTop w:val="0"/>
      <w:marBottom w:val="0"/>
      <w:divBdr>
        <w:top w:val="none" w:sz="0" w:space="0" w:color="auto"/>
        <w:left w:val="none" w:sz="0" w:space="0" w:color="auto"/>
        <w:bottom w:val="none" w:sz="0" w:space="0" w:color="auto"/>
        <w:right w:val="none" w:sz="0" w:space="0" w:color="auto"/>
      </w:divBdr>
    </w:div>
    <w:div w:id="39211058">
      <w:bodyDiv w:val="1"/>
      <w:marLeft w:val="0"/>
      <w:marRight w:val="0"/>
      <w:marTop w:val="0"/>
      <w:marBottom w:val="0"/>
      <w:divBdr>
        <w:top w:val="none" w:sz="0" w:space="0" w:color="auto"/>
        <w:left w:val="none" w:sz="0" w:space="0" w:color="auto"/>
        <w:bottom w:val="none" w:sz="0" w:space="0" w:color="auto"/>
        <w:right w:val="none" w:sz="0" w:space="0" w:color="auto"/>
      </w:divBdr>
    </w:div>
    <w:div w:id="60762650">
      <w:bodyDiv w:val="1"/>
      <w:marLeft w:val="0"/>
      <w:marRight w:val="0"/>
      <w:marTop w:val="0"/>
      <w:marBottom w:val="0"/>
      <w:divBdr>
        <w:top w:val="none" w:sz="0" w:space="0" w:color="auto"/>
        <w:left w:val="none" w:sz="0" w:space="0" w:color="auto"/>
        <w:bottom w:val="none" w:sz="0" w:space="0" w:color="auto"/>
        <w:right w:val="none" w:sz="0" w:space="0" w:color="auto"/>
      </w:divBdr>
    </w:div>
    <w:div w:id="66344614">
      <w:bodyDiv w:val="1"/>
      <w:marLeft w:val="0"/>
      <w:marRight w:val="0"/>
      <w:marTop w:val="0"/>
      <w:marBottom w:val="0"/>
      <w:divBdr>
        <w:top w:val="none" w:sz="0" w:space="0" w:color="auto"/>
        <w:left w:val="none" w:sz="0" w:space="0" w:color="auto"/>
        <w:bottom w:val="none" w:sz="0" w:space="0" w:color="auto"/>
        <w:right w:val="none" w:sz="0" w:space="0" w:color="auto"/>
      </w:divBdr>
    </w:div>
    <w:div w:id="82798460">
      <w:bodyDiv w:val="1"/>
      <w:marLeft w:val="0"/>
      <w:marRight w:val="0"/>
      <w:marTop w:val="0"/>
      <w:marBottom w:val="0"/>
      <w:divBdr>
        <w:top w:val="none" w:sz="0" w:space="0" w:color="auto"/>
        <w:left w:val="none" w:sz="0" w:space="0" w:color="auto"/>
        <w:bottom w:val="none" w:sz="0" w:space="0" w:color="auto"/>
        <w:right w:val="none" w:sz="0" w:space="0" w:color="auto"/>
      </w:divBdr>
    </w:div>
    <w:div w:id="109866029">
      <w:bodyDiv w:val="1"/>
      <w:marLeft w:val="0"/>
      <w:marRight w:val="0"/>
      <w:marTop w:val="0"/>
      <w:marBottom w:val="0"/>
      <w:divBdr>
        <w:top w:val="none" w:sz="0" w:space="0" w:color="auto"/>
        <w:left w:val="none" w:sz="0" w:space="0" w:color="auto"/>
        <w:bottom w:val="none" w:sz="0" w:space="0" w:color="auto"/>
        <w:right w:val="none" w:sz="0" w:space="0" w:color="auto"/>
      </w:divBdr>
    </w:div>
    <w:div w:id="111827465">
      <w:bodyDiv w:val="1"/>
      <w:marLeft w:val="0"/>
      <w:marRight w:val="0"/>
      <w:marTop w:val="0"/>
      <w:marBottom w:val="0"/>
      <w:divBdr>
        <w:top w:val="none" w:sz="0" w:space="0" w:color="auto"/>
        <w:left w:val="none" w:sz="0" w:space="0" w:color="auto"/>
        <w:bottom w:val="none" w:sz="0" w:space="0" w:color="auto"/>
        <w:right w:val="none" w:sz="0" w:space="0" w:color="auto"/>
      </w:divBdr>
    </w:div>
    <w:div w:id="113259888">
      <w:bodyDiv w:val="1"/>
      <w:marLeft w:val="0"/>
      <w:marRight w:val="0"/>
      <w:marTop w:val="0"/>
      <w:marBottom w:val="0"/>
      <w:divBdr>
        <w:top w:val="none" w:sz="0" w:space="0" w:color="auto"/>
        <w:left w:val="none" w:sz="0" w:space="0" w:color="auto"/>
        <w:bottom w:val="none" w:sz="0" w:space="0" w:color="auto"/>
        <w:right w:val="none" w:sz="0" w:space="0" w:color="auto"/>
      </w:divBdr>
    </w:div>
    <w:div w:id="132064404">
      <w:bodyDiv w:val="1"/>
      <w:marLeft w:val="0"/>
      <w:marRight w:val="0"/>
      <w:marTop w:val="0"/>
      <w:marBottom w:val="0"/>
      <w:divBdr>
        <w:top w:val="none" w:sz="0" w:space="0" w:color="auto"/>
        <w:left w:val="none" w:sz="0" w:space="0" w:color="auto"/>
        <w:bottom w:val="none" w:sz="0" w:space="0" w:color="auto"/>
        <w:right w:val="none" w:sz="0" w:space="0" w:color="auto"/>
      </w:divBdr>
      <w:divsChild>
        <w:div w:id="1507399964">
          <w:marLeft w:val="0"/>
          <w:marRight w:val="0"/>
          <w:marTop w:val="0"/>
          <w:marBottom w:val="0"/>
          <w:divBdr>
            <w:top w:val="none" w:sz="0" w:space="0" w:color="auto"/>
            <w:left w:val="none" w:sz="0" w:space="0" w:color="auto"/>
            <w:bottom w:val="none" w:sz="0" w:space="0" w:color="auto"/>
            <w:right w:val="none" w:sz="0" w:space="0" w:color="auto"/>
          </w:divBdr>
        </w:div>
      </w:divsChild>
    </w:div>
    <w:div w:id="155800431">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sChild>
        <w:div w:id="723025525">
          <w:marLeft w:val="0"/>
          <w:marRight w:val="0"/>
          <w:marTop w:val="0"/>
          <w:marBottom w:val="0"/>
          <w:divBdr>
            <w:top w:val="none" w:sz="0" w:space="0" w:color="auto"/>
            <w:left w:val="none" w:sz="0" w:space="0" w:color="auto"/>
            <w:bottom w:val="none" w:sz="0" w:space="0" w:color="auto"/>
            <w:right w:val="none" w:sz="0" w:space="0" w:color="auto"/>
          </w:divBdr>
          <w:divsChild>
            <w:div w:id="427702954">
              <w:marLeft w:val="0"/>
              <w:marRight w:val="0"/>
              <w:marTop w:val="0"/>
              <w:marBottom w:val="0"/>
              <w:divBdr>
                <w:top w:val="none" w:sz="0" w:space="0" w:color="auto"/>
                <w:left w:val="none" w:sz="0" w:space="0" w:color="auto"/>
                <w:bottom w:val="none" w:sz="0" w:space="0" w:color="auto"/>
                <w:right w:val="none" w:sz="0" w:space="0" w:color="auto"/>
              </w:divBdr>
              <w:divsChild>
                <w:div w:id="1463379956">
                  <w:marLeft w:val="0"/>
                  <w:marRight w:val="0"/>
                  <w:marTop w:val="0"/>
                  <w:marBottom w:val="0"/>
                  <w:divBdr>
                    <w:top w:val="none" w:sz="0" w:space="0" w:color="auto"/>
                    <w:left w:val="none" w:sz="0" w:space="0" w:color="auto"/>
                    <w:bottom w:val="none" w:sz="0" w:space="0" w:color="auto"/>
                    <w:right w:val="none" w:sz="0" w:space="0" w:color="auto"/>
                  </w:divBdr>
                  <w:divsChild>
                    <w:div w:id="19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1587">
      <w:bodyDiv w:val="1"/>
      <w:marLeft w:val="0"/>
      <w:marRight w:val="0"/>
      <w:marTop w:val="0"/>
      <w:marBottom w:val="0"/>
      <w:divBdr>
        <w:top w:val="none" w:sz="0" w:space="0" w:color="auto"/>
        <w:left w:val="none" w:sz="0" w:space="0" w:color="auto"/>
        <w:bottom w:val="none" w:sz="0" w:space="0" w:color="auto"/>
        <w:right w:val="none" w:sz="0" w:space="0" w:color="auto"/>
      </w:divBdr>
    </w:div>
    <w:div w:id="202792091">
      <w:bodyDiv w:val="1"/>
      <w:marLeft w:val="0"/>
      <w:marRight w:val="0"/>
      <w:marTop w:val="0"/>
      <w:marBottom w:val="0"/>
      <w:divBdr>
        <w:top w:val="none" w:sz="0" w:space="0" w:color="auto"/>
        <w:left w:val="none" w:sz="0" w:space="0" w:color="auto"/>
        <w:bottom w:val="none" w:sz="0" w:space="0" w:color="auto"/>
        <w:right w:val="none" w:sz="0" w:space="0" w:color="auto"/>
      </w:divBdr>
    </w:div>
    <w:div w:id="205139546">
      <w:bodyDiv w:val="1"/>
      <w:marLeft w:val="0"/>
      <w:marRight w:val="0"/>
      <w:marTop w:val="0"/>
      <w:marBottom w:val="0"/>
      <w:divBdr>
        <w:top w:val="none" w:sz="0" w:space="0" w:color="auto"/>
        <w:left w:val="none" w:sz="0" w:space="0" w:color="auto"/>
        <w:bottom w:val="none" w:sz="0" w:space="0" w:color="auto"/>
        <w:right w:val="none" w:sz="0" w:space="0" w:color="auto"/>
      </w:divBdr>
    </w:div>
    <w:div w:id="219363837">
      <w:bodyDiv w:val="1"/>
      <w:marLeft w:val="0"/>
      <w:marRight w:val="0"/>
      <w:marTop w:val="0"/>
      <w:marBottom w:val="0"/>
      <w:divBdr>
        <w:top w:val="none" w:sz="0" w:space="0" w:color="auto"/>
        <w:left w:val="none" w:sz="0" w:space="0" w:color="auto"/>
        <w:bottom w:val="none" w:sz="0" w:space="0" w:color="auto"/>
        <w:right w:val="none" w:sz="0" w:space="0" w:color="auto"/>
      </w:divBdr>
    </w:div>
    <w:div w:id="277831543">
      <w:bodyDiv w:val="1"/>
      <w:marLeft w:val="0"/>
      <w:marRight w:val="0"/>
      <w:marTop w:val="0"/>
      <w:marBottom w:val="0"/>
      <w:divBdr>
        <w:top w:val="none" w:sz="0" w:space="0" w:color="auto"/>
        <w:left w:val="none" w:sz="0" w:space="0" w:color="auto"/>
        <w:bottom w:val="none" w:sz="0" w:space="0" w:color="auto"/>
        <w:right w:val="none" w:sz="0" w:space="0" w:color="auto"/>
      </w:divBdr>
    </w:div>
    <w:div w:id="294530788">
      <w:bodyDiv w:val="1"/>
      <w:marLeft w:val="0"/>
      <w:marRight w:val="0"/>
      <w:marTop w:val="0"/>
      <w:marBottom w:val="0"/>
      <w:divBdr>
        <w:top w:val="none" w:sz="0" w:space="0" w:color="auto"/>
        <w:left w:val="none" w:sz="0" w:space="0" w:color="auto"/>
        <w:bottom w:val="none" w:sz="0" w:space="0" w:color="auto"/>
        <w:right w:val="none" w:sz="0" w:space="0" w:color="auto"/>
      </w:divBdr>
    </w:div>
    <w:div w:id="377629264">
      <w:bodyDiv w:val="1"/>
      <w:marLeft w:val="0"/>
      <w:marRight w:val="0"/>
      <w:marTop w:val="0"/>
      <w:marBottom w:val="0"/>
      <w:divBdr>
        <w:top w:val="none" w:sz="0" w:space="0" w:color="auto"/>
        <w:left w:val="none" w:sz="0" w:space="0" w:color="auto"/>
        <w:bottom w:val="none" w:sz="0" w:space="0" w:color="auto"/>
        <w:right w:val="none" w:sz="0" w:space="0" w:color="auto"/>
      </w:divBdr>
    </w:div>
    <w:div w:id="457644048">
      <w:bodyDiv w:val="1"/>
      <w:marLeft w:val="0"/>
      <w:marRight w:val="0"/>
      <w:marTop w:val="0"/>
      <w:marBottom w:val="0"/>
      <w:divBdr>
        <w:top w:val="none" w:sz="0" w:space="0" w:color="auto"/>
        <w:left w:val="none" w:sz="0" w:space="0" w:color="auto"/>
        <w:bottom w:val="none" w:sz="0" w:space="0" w:color="auto"/>
        <w:right w:val="none" w:sz="0" w:space="0" w:color="auto"/>
      </w:divBdr>
    </w:div>
    <w:div w:id="467743193">
      <w:bodyDiv w:val="1"/>
      <w:marLeft w:val="0"/>
      <w:marRight w:val="0"/>
      <w:marTop w:val="0"/>
      <w:marBottom w:val="0"/>
      <w:divBdr>
        <w:top w:val="none" w:sz="0" w:space="0" w:color="auto"/>
        <w:left w:val="none" w:sz="0" w:space="0" w:color="auto"/>
        <w:bottom w:val="none" w:sz="0" w:space="0" w:color="auto"/>
        <w:right w:val="none" w:sz="0" w:space="0" w:color="auto"/>
      </w:divBdr>
    </w:div>
    <w:div w:id="526723172">
      <w:bodyDiv w:val="1"/>
      <w:marLeft w:val="0"/>
      <w:marRight w:val="0"/>
      <w:marTop w:val="0"/>
      <w:marBottom w:val="0"/>
      <w:divBdr>
        <w:top w:val="none" w:sz="0" w:space="0" w:color="auto"/>
        <w:left w:val="none" w:sz="0" w:space="0" w:color="auto"/>
        <w:bottom w:val="none" w:sz="0" w:space="0" w:color="auto"/>
        <w:right w:val="none" w:sz="0" w:space="0" w:color="auto"/>
      </w:divBdr>
    </w:div>
    <w:div w:id="571087609">
      <w:bodyDiv w:val="1"/>
      <w:marLeft w:val="0"/>
      <w:marRight w:val="0"/>
      <w:marTop w:val="0"/>
      <w:marBottom w:val="0"/>
      <w:divBdr>
        <w:top w:val="none" w:sz="0" w:space="0" w:color="auto"/>
        <w:left w:val="none" w:sz="0" w:space="0" w:color="auto"/>
        <w:bottom w:val="none" w:sz="0" w:space="0" w:color="auto"/>
        <w:right w:val="none" w:sz="0" w:space="0" w:color="auto"/>
      </w:divBdr>
    </w:div>
    <w:div w:id="571544923">
      <w:bodyDiv w:val="1"/>
      <w:marLeft w:val="0"/>
      <w:marRight w:val="0"/>
      <w:marTop w:val="0"/>
      <w:marBottom w:val="0"/>
      <w:divBdr>
        <w:top w:val="none" w:sz="0" w:space="0" w:color="auto"/>
        <w:left w:val="none" w:sz="0" w:space="0" w:color="auto"/>
        <w:bottom w:val="none" w:sz="0" w:space="0" w:color="auto"/>
        <w:right w:val="none" w:sz="0" w:space="0" w:color="auto"/>
      </w:divBdr>
    </w:div>
    <w:div w:id="593326179">
      <w:bodyDiv w:val="1"/>
      <w:marLeft w:val="0"/>
      <w:marRight w:val="0"/>
      <w:marTop w:val="0"/>
      <w:marBottom w:val="0"/>
      <w:divBdr>
        <w:top w:val="none" w:sz="0" w:space="0" w:color="auto"/>
        <w:left w:val="none" w:sz="0" w:space="0" w:color="auto"/>
        <w:bottom w:val="none" w:sz="0" w:space="0" w:color="auto"/>
        <w:right w:val="none" w:sz="0" w:space="0" w:color="auto"/>
      </w:divBdr>
    </w:div>
    <w:div w:id="606305292">
      <w:bodyDiv w:val="1"/>
      <w:marLeft w:val="0"/>
      <w:marRight w:val="0"/>
      <w:marTop w:val="0"/>
      <w:marBottom w:val="0"/>
      <w:divBdr>
        <w:top w:val="none" w:sz="0" w:space="0" w:color="auto"/>
        <w:left w:val="none" w:sz="0" w:space="0" w:color="auto"/>
        <w:bottom w:val="none" w:sz="0" w:space="0" w:color="auto"/>
        <w:right w:val="none" w:sz="0" w:space="0" w:color="auto"/>
      </w:divBdr>
    </w:div>
    <w:div w:id="632172042">
      <w:bodyDiv w:val="1"/>
      <w:marLeft w:val="0"/>
      <w:marRight w:val="0"/>
      <w:marTop w:val="0"/>
      <w:marBottom w:val="0"/>
      <w:divBdr>
        <w:top w:val="none" w:sz="0" w:space="0" w:color="auto"/>
        <w:left w:val="none" w:sz="0" w:space="0" w:color="auto"/>
        <w:bottom w:val="none" w:sz="0" w:space="0" w:color="auto"/>
        <w:right w:val="none" w:sz="0" w:space="0" w:color="auto"/>
      </w:divBdr>
    </w:div>
    <w:div w:id="633681974">
      <w:bodyDiv w:val="1"/>
      <w:marLeft w:val="0"/>
      <w:marRight w:val="0"/>
      <w:marTop w:val="0"/>
      <w:marBottom w:val="0"/>
      <w:divBdr>
        <w:top w:val="none" w:sz="0" w:space="0" w:color="auto"/>
        <w:left w:val="none" w:sz="0" w:space="0" w:color="auto"/>
        <w:bottom w:val="none" w:sz="0" w:space="0" w:color="auto"/>
        <w:right w:val="none" w:sz="0" w:space="0" w:color="auto"/>
      </w:divBdr>
    </w:div>
    <w:div w:id="674458820">
      <w:bodyDiv w:val="1"/>
      <w:marLeft w:val="0"/>
      <w:marRight w:val="0"/>
      <w:marTop w:val="0"/>
      <w:marBottom w:val="0"/>
      <w:divBdr>
        <w:top w:val="none" w:sz="0" w:space="0" w:color="auto"/>
        <w:left w:val="none" w:sz="0" w:space="0" w:color="auto"/>
        <w:bottom w:val="none" w:sz="0" w:space="0" w:color="auto"/>
        <w:right w:val="none" w:sz="0" w:space="0" w:color="auto"/>
      </w:divBdr>
    </w:div>
    <w:div w:id="679820662">
      <w:bodyDiv w:val="1"/>
      <w:marLeft w:val="0"/>
      <w:marRight w:val="0"/>
      <w:marTop w:val="0"/>
      <w:marBottom w:val="0"/>
      <w:divBdr>
        <w:top w:val="none" w:sz="0" w:space="0" w:color="auto"/>
        <w:left w:val="none" w:sz="0" w:space="0" w:color="auto"/>
        <w:bottom w:val="none" w:sz="0" w:space="0" w:color="auto"/>
        <w:right w:val="none" w:sz="0" w:space="0" w:color="auto"/>
      </w:divBdr>
    </w:div>
    <w:div w:id="688919899">
      <w:bodyDiv w:val="1"/>
      <w:marLeft w:val="0"/>
      <w:marRight w:val="0"/>
      <w:marTop w:val="0"/>
      <w:marBottom w:val="0"/>
      <w:divBdr>
        <w:top w:val="none" w:sz="0" w:space="0" w:color="auto"/>
        <w:left w:val="none" w:sz="0" w:space="0" w:color="auto"/>
        <w:bottom w:val="none" w:sz="0" w:space="0" w:color="auto"/>
        <w:right w:val="none" w:sz="0" w:space="0" w:color="auto"/>
      </w:divBdr>
    </w:div>
    <w:div w:id="744230671">
      <w:bodyDiv w:val="1"/>
      <w:marLeft w:val="0"/>
      <w:marRight w:val="0"/>
      <w:marTop w:val="0"/>
      <w:marBottom w:val="0"/>
      <w:divBdr>
        <w:top w:val="none" w:sz="0" w:space="0" w:color="auto"/>
        <w:left w:val="none" w:sz="0" w:space="0" w:color="auto"/>
        <w:bottom w:val="none" w:sz="0" w:space="0" w:color="auto"/>
        <w:right w:val="none" w:sz="0" w:space="0" w:color="auto"/>
      </w:divBdr>
    </w:div>
    <w:div w:id="753358251">
      <w:bodyDiv w:val="1"/>
      <w:marLeft w:val="0"/>
      <w:marRight w:val="0"/>
      <w:marTop w:val="0"/>
      <w:marBottom w:val="0"/>
      <w:divBdr>
        <w:top w:val="none" w:sz="0" w:space="0" w:color="auto"/>
        <w:left w:val="none" w:sz="0" w:space="0" w:color="auto"/>
        <w:bottom w:val="none" w:sz="0" w:space="0" w:color="auto"/>
        <w:right w:val="none" w:sz="0" w:space="0" w:color="auto"/>
      </w:divBdr>
    </w:div>
    <w:div w:id="759182683">
      <w:bodyDiv w:val="1"/>
      <w:marLeft w:val="0"/>
      <w:marRight w:val="0"/>
      <w:marTop w:val="0"/>
      <w:marBottom w:val="0"/>
      <w:divBdr>
        <w:top w:val="none" w:sz="0" w:space="0" w:color="auto"/>
        <w:left w:val="none" w:sz="0" w:space="0" w:color="auto"/>
        <w:bottom w:val="none" w:sz="0" w:space="0" w:color="auto"/>
        <w:right w:val="none" w:sz="0" w:space="0" w:color="auto"/>
      </w:divBdr>
    </w:div>
    <w:div w:id="770272774">
      <w:bodyDiv w:val="1"/>
      <w:marLeft w:val="0"/>
      <w:marRight w:val="0"/>
      <w:marTop w:val="0"/>
      <w:marBottom w:val="0"/>
      <w:divBdr>
        <w:top w:val="none" w:sz="0" w:space="0" w:color="auto"/>
        <w:left w:val="none" w:sz="0" w:space="0" w:color="auto"/>
        <w:bottom w:val="none" w:sz="0" w:space="0" w:color="auto"/>
        <w:right w:val="none" w:sz="0" w:space="0" w:color="auto"/>
      </w:divBdr>
    </w:div>
    <w:div w:id="782263116">
      <w:bodyDiv w:val="1"/>
      <w:marLeft w:val="0"/>
      <w:marRight w:val="0"/>
      <w:marTop w:val="0"/>
      <w:marBottom w:val="0"/>
      <w:divBdr>
        <w:top w:val="none" w:sz="0" w:space="0" w:color="auto"/>
        <w:left w:val="none" w:sz="0" w:space="0" w:color="auto"/>
        <w:bottom w:val="none" w:sz="0" w:space="0" w:color="auto"/>
        <w:right w:val="none" w:sz="0" w:space="0" w:color="auto"/>
      </w:divBdr>
    </w:div>
    <w:div w:id="794638871">
      <w:bodyDiv w:val="1"/>
      <w:marLeft w:val="0"/>
      <w:marRight w:val="0"/>
      <w:marTop w:val="0"/>
      <w:marBottom w:val="0"/>
      <w:divBdr>
        <w:top w:val="none" w:sz="0" w:space="0" w:color="auto"/>
        <w:left w:val="none" w:sz="0" w:space="0" w:color="auto"/>
        <w:bottom w:val="none" w:sz="0" w:space="0" w:color="auto"/>
        <w:right w:val="none" w:sz="0" w:space="0" w:color="auto"/>
      </w:divBdr>
    </w:div>
    <w:div w:id="839662454">
      <w:bodyDiv w:val="1"/>
      <w:marLeft w:val="0"/>
      <w:marRight w:val="0"/>
      <w:marTop w:val="0"/>
      <w:marBottom w:val="0"/>
      <w:divBdr>
        <w:top w:val="none" w:sz="0" w:space="0" w:color="auto"/>
        <w:left w:val="none" w:sz="0" w:space="0" w:color="auto"/>
        <w:bottom w:val="none" w:sz="0" w:space="0" w:color="auto"/>
        <w:right w:val="none" w:sz="0" w:space="0" w:color="auto"/>
      </w:divBdr>
    </w:div>
    <w:div w:id="875505057">
      <w:bodyDiv w:val="1"/>
      <w:marLeft w:val="0"/>
      <w:marRight w:val="0"/>
      <w:marTop w:val="0"/>
      <w:marBottom w:val="0"/>
      <w:divBdr>
        <w:top w:val="none" w:sz="0" w:space="0" w:color="auto"/>
        <w:left w:val="none" w:sz="0" w:space="0" w:color="auto"/>
        <w:bottom w:val="none" w:sz="0" w:space="0" w:color="auto"/>
        <w:right w:val="none" w:sz="0" w:space="0" w:color="auto"/>
      </w:divBdr>
    </w:div>
    <w:div w:id="892541189">
      <w:bodyDiv w:val="1"/>
      <w:marLeft w:val="0"/>
      <w:marRight w:val="0"/>
      <w:marTop w:val="0"/>
      <w:marBottom w:val="0"/>
      <w:divBdr>
        <w:top w:val="none" w:sz="0" w:space="0" w:color="auto"/>
        <w:left w:val="none" w:sz="0" w:space="0" w:color="auto"/>
        <w:bottom w:val="none" w:sz="0" w:space="0" w:color="auto"/>
        <w:right w:val="none" w:sz="0" w:space="0" w:color="auto"/>
      </w:divBdr>
    </w:div>
    <w:div w:id="893733434">
      <w:bodyDiv w:val="1"/>
      <w:marLeft w:val="0"/>
      <w:marRight w:val="0"/>
      <w:marTop w:val="0"/>
      <w:marBottom w:val="0"/>
      <w:divBdr>
        <w:top w:val="none" w:sz="0" w:space="0" w:color="auto"/>
        <w:left w:val="none" w:sz="0" w:space="0" w:color="auto"/>
        <w:bottom w:val="none" w:sz="0" w:space="0" w:color="auto"/>
        <w:right w:val="none" w:sz="0" w:space="0" w:color="auto"/>
      </w:divBdr>
    </w:div>
    <w:div w:id="903487677">
      <w:bodyDiv w:val="1"/>
      <w:marLeft w:val="0"/>
      <w:marRight w:val="0"/>
      <w:marTop w:val="0"/>
      <w:marBottom w:val="0"/>
      <w:divBdr>
        <w:top w:val="none" w:sz="0" w:space="0" w:color="auto"/>
        <w:left w:val="none" w:sz="0" w:space="0" w:color="auto"/>
        <w:bottom w:val="none" w:sz="0" w:space="0" w:color="auto"/>
        <w:right w:val="none" w:sz="0" w:space="0" w:color="auto"/>
      </w:divBdr>
    </w:div>
    <w:div w:id="924653502">
      <w:bodyDiv w:val="1"/>
      <w:marLeft w:val="0"/>
      <w:marRight w:val="0"/>
      <w:marTop w:val="0"/>
      <w:marBottom w:val="0"/>
      <w:divBdr>
        <w:top w:val="none" w:sz="0" w:space="0" w:color="auto"/>
        <w:left w:val="none" w:sz="0" w:space="0" w:color="auto"/>
        <w:bottom w:val="none" w:sz="0" w:space="0" w:color="auto"/>
        <w:right w:val="none" w:sz="0" w:space="0" w:color="auto"/>
      </w:divBdr>
    </w:div>
    <w:div w:id="925649954">
      <w:bodyDiv w:val="1"/>
      <w:marLeft w:val="0"/>
      <w:marRight w:val="0"/>
      <w:marTop w:val="0"/>
      <w:marBottom w:val="0"/>
      <w:divBdr>
        <w:top w:val="none" w:sz="0" w:space="0" w:color="auto"/>
        <w:left w:val="none" w:sz="0" w:space="0" w:color="auto"/>
        <w:bottom w:val="none" w:sz="0" w:space="0" w:color="auto"/>
        <w:right w:val="none" w:sz="0" w:space="0" w:color="auto"/>
      </w:divBdr>
    </w:div>
    <w:div w:id="937444251">
      <w:bodyDiv w:val="1"/>
      <w:marLeft w:val="0"/>
      <w:marRight w:val="0"/>
      <w:marTop w:val="0"/>
      <w:marBottom w:val="0"/>
      <w:divBdr>
        <w:top w:val="none" w:sz="0" w:space="0" w:color="auto"/>
        <w:left w:val="none" w:sz="0" w:space="0" w:color="auto"/>
        <w:bottom w:val="none" w:sz="0" w:space="0" w:color="auto"/>
        <w:right w:val="none" w:sz="0" w:space="0" w:color="auto"/>
      </w:divBdr>
    </w:div>
    <w:div w:id="948707419">
      <w:bodyDiv w:val="1"/>
      <w:marLeft w:val="0"/>
      <w:marRight w:val="0"/>
      <w:marTop w:val="0"/>
      <w:marBottom w:val="0"/>
      <w:divBdr>
        <w:top w:val="none" w:sz="0" w:space="0" w:color="auto"/>
        <w:left w:val="none" w:sz="0" w:space="0" w:color="auto"/>
        <w:bottom w:val="none" w:sz="0" w:space="0" w:color="auto"/>
        <w:right w:val="none" w:sz="0" w:space="0" w:color="auto"/>
      </w:divBdr>
    </w:div>
    <w:div w:id="949313588">
      <w:bodyDiv w:val="1"/>
      <w:marLeft w:val="0"/>
      <w:marRight w:val="0"/>
      <w:marTop w:val="0"/>
      <w:marBottom w:val="0"/>
      <w:divBdr>
        <w:top w:val="none" w:sz="0" w:space="0" w:color="auto"/>
        <w:left w:val="none" w:sz="0" w:space="0" w:color="auto"/>
        <w:bottom w:val="none" w:sz="0" w:space="0" w:color="auto"/>
        <w:right w:val="none" w:sz="0" w:space="0" w:color="auto"/>
      </w:divBdr>
    </w:div>
    <w:div w:id="950403597">
      <w:bodyDiv w:val="1"/>
      <w:marLeft w:val="0"/>
      <w:marRight w:val="0"/>
      <w:marTop w:val="0"/>
      <w:marBottom w:val="0"/>
      <w:divBdr>
        <w:top w:val="none" w:sz="0" w:space="0" w:color="auto"/>
        <w:left w:val="none" w:sz="0" w:space="0" w:color="auto"/>
        <w:bottom w:val="none" w:sz="0" w:space="0" w:color="auto"/>
        <w:right w:val="none" w:sz="0" w:space="0" w:color="auto"/>
      </w:divBdr>
    </w:div>
    <w:div w:id="983856225">
      <w:bodyDiv w:val="1"/>
      <w:marLeft w:val="0"/>
      <w:marRight w:val="0"/>
      <w:marTop w:val="0"/>
      <w:marBottom w:val="0"/>
      <w:divBdr>
        <w:top w:val="none" w:sz="0" w:space="0" w:color="auto"/>
        <w:left w:val="none" w:sz="0" w:space="0" w:color="auto"/>
        <w:bottom w:val="none" w:sz="0" w:space="0" w:color="auto"/>
        <w:right w:val="none" w:sz="0" w:space="0" w:color="auto"/>
      </w:divBdr>
    </w:div>
    <w:div w:id="989014646">
      <w:bodyDiv w:val="1"/>
      <w:marLeft w:val="0"/>
      <w:marRight w:val="0"/>
      <w:marTop w:val="0"/>
      <w:marBottom w:val="0"/>
      <w:divBdr>
        <w:top w:val="none" w:sz="0" w:space="0" w:color="auto"/>
        <w:left w:val="none" w:sz="0" w:space="0" w:color="auto"/>
        <w:bottom w:val="none" w:sz="0" w:space="0" w:color="auto"/>
        <w:right w:val="none" w:sz="0" w:space="0" w:color="auto"/>
      </w:divBdr>
    </w:div>
    <w:div w:id="1009286468">
      <w:bodyDiv w:val="1"/>
      <w:marLeft w:val="0"/>
      <w:marRight w:val="0"/>
      <w:marTop w:val="0"/>
      <w:marBottom w:val="0"/>
      <w:divBdr>
        <w:top w:val="none" w:sz="0" w:space="0" w:color="auto"/>
        <w:left w:val="none" w:sz="0" w:space="0" w:color="auto"/>
        <w:bottom w:val="none" w:sz="0" w:space="0" w:color="auto"/>
        <w:right w:val="none" w:sz="0" w:space="0" w:color="auto"/>
      </w:divBdr>
    </w:div>
    <w:div w:id="1031690166">
      <w:bodyDiv w:val="1"/>
      <w:marLeft w:val="0"/>
      <w:marRight w:val="0"/>
      <w:marTop w:val="0"/>
      <w:marBottom w:val="0"/>
      <w:divBdr>
        <w:top w:val="none" w:sz="0" w:space="0" w:color="auto"/>
        <w:left w:val="none" w:sz="0" w:space="0" w:color="auto"/>
        <w:bottom w:val="none" w:sz="0" w:space="0" w:color="auto"/>
        <w:right w:val="none" w:sz="0" w:space="0" w:color="auto"/>
      </w:divBdr>
    </w:div>
    <w:div w:id="1045518754">
      <w:bodyDiv w:val="1"/>
      <w:marLeft w:val="0"/>
      <w:marRight w:val="0"/>
      <w:marTop w:val="0"/>
      <w:marBottom w:val="0"/>
      <w:divBdr>
        <w:top w:val="none" w:sz="0" w:space="0" w:color="auto"/>
        <w:left w:val="none" w:sz="0" w:space="0" w:color="auto"/>
        <w:bottom w:val="none" w:sz="0" w:space="0" w:color="auto"/>
        <w:right w:val="none" w:sz="0" w:space="0" w:color="auto"/>
      </w:divBdr>
    </w:div>
    <w:div w:id="1066879188">
      <w:bodyDiv w:val="1"/>
      <w:marLeft w:val="0"/>
      <w:marRight w:val="0"/>
      <w:marTop w:val="0"/>
      <w:marBottom w:val="0"/>
      <w:divBdr>
        <w:top w:val="none" w:sz="0" w:space="0" w:color="auto"/>
        <w:left w:val="none" w:sz="0" w:space="0" w:color="auto"/>
        <w:bottom w:val="none" w:sz="0" w:space="0" w:color="auto"/>
        <w:right w:val="none" w:sz="0" w:space="0" w:color="auto"/>
      </w:divBdr>
    </w:div>
    <w:div w:id="1073161048">
      <w:bodyDiv w:val="1"/>
      <w:marLeft w:val="0"/>
      <w:marRight w:val="0"/>
      <w:marTop w:val="0"/>
      <w:marBottom w:val="0"/>
      <w:divBdr>
        <w:top w:val="none" w:sz="0" w:space="0" w:color="auto"/>
        <w:left w:val="none" w:sz="0" w:space="0" w:color="auto"/>
        <w:bottom w:val="none" w:sz="0" w:space="0" w:color="auto"/>
        <w:right w:val="none" w:sz="0" w:space="0" w:color="auto"/>
      </w:divBdr>
    </w:div>
    <w:div w:id="1090086041">
      <w:bodyDiv w:val="1"/>
      <w:marLeft w:val="0"/>
      <w:marRight w:val="0"/>
      <w:marTop w:val="0"/>
      <w:marBottom w:val="0"/>
      <w:divBdr>
        <w:top w:val="none" w:sz="0" w:space="0" w:color="auto"/>
        <w:left w:val="none" w:sz="0" w:space="0" w:color="auto"/>
        <w:bottom w:val="none" w:sz="0" w:space="0" w:color="auto"/>
        <w:right w:val="none" w:sz="0" w:space="0" w:color="auto"/>
      </w:divBdr>
    </w:div>
    <w:div w:id="1134249405">
      <w:bodyDiv w:val="1"/>
      <w:marLeft w:val="0"/>
      <w:marRight w:val="0"/>
      <w:marTop w:val="0"/>
      <w:marBottom w:val="0"/>
      <w:divBdr>
        <w:top w:val="none" w:sz="0" w:space="0" w:color="auto"/>
        <w:left w:val="none" w:sz="0" w:space="0" w:color="auto"/>
        <w:bottom w:val="none" w:sz="0" w:space="0" w:color="auto"/>
        <w:right w:val="none" w:sz="0" w:space="0" w:color="auto"/>
      </w:divBdr>
    </w:div>
    <w:div w:id="1137450334">
      <w:bodyDiv w:val="1"/>
      <w:marLeft w:val="0"/>
      <w:marRight w:val="0"/>
      <w:marTop w:val="0"/>
      <w:marBottom w:val="0"/>
      <w:divBdr>
        <w:top w:val="none" w:sz="0" w:space="0" w:color="auto"/>
        <w:left w:val="none" w:sz="0" w:space="0" w:color="auto"/>
        <w:bottom w:val="none" w:sz="0" w:space="0" w:color="auto"/>
        <w:right w:val="none" w:sz="0" w:space="0" w:color="auto"/>
      </w:divBdr>
    </w:div>
    <w:div w:id="1152717026">
      <w:bodyDiv w:val="1"/>
      <w:marLeft w:val="0"/>
      <w:marRight w:val="0"/>
      <w:marTop w:val="0"/>
      <w:marBottom w:val="0"/>
      <w:divBdr>
        <w:top w:val="none" w:sz="0" w:space="0" w:color="auto"/>
        <w:left w:val="none" w:sz="0" w:space="0" w:color="auto"/>
        <w:bottom w:val="none" w:sz="0" w:space="0" w:color="auto"/>
        <w:right w:val="none" w:sz="0" w:space="0" w:color="auto"/>
      </w:divBdr>
    </w:div>
    <w:div w:id="1171723910">
      <w:bodyDiv w:val="1"/>
      <w:marLeft w:val="0"/>
      <w:marRight w:val="0"/>
      <w:marTop w:val="0"/>
      <w:marBottom w:val="0"/>
      <w:divBdr>
        <w:top w:val="none" w:sz="0" w:space="0" w:color="auto"/>
        <w:left w:val="none" w:sz="0" w:space="0" w:color="auto"/>
        <w:bottom w:val="none" w:sz="0" w:space="0" w:color="auto"/>
        <w:right w:val="none" w:sz="0" w:space="0" w:color="auto"/>
      </w:divBdr>
    </w:div>
    <w:div w:id="1176726072">
      <w:bodyDiv w:val="1"/>
      <w:marLeft w:val="0"/>
      <w:marRight w:val="0"/>
      <w:marTop w:val="0"/>
      <w:marBottom w:val="0"/>
      <w:divBdr>
        <w:top w:val="none" w:sz="0" w:space="0" w:color="auto"/>
        <w:left w:val="none" w:sz="0" w:space="0" w:color="auto"/>
        <w:bottom w:val="none" w:sz="0" w:space="0" w:color="auto"/>
        <w:right w:val="none" w:sz="0" w:space="0" w:color="auto"/>
      </w:divBdr>
    </w:div>
    <w:div w:id="1208181246">
      <w:bodyDiv w:val="1"/>
      <w:marLeft w:val="0"/>
      <w:marRight w:val="0"/>
      <w:marTop w:val="0"/>
      <w:marBottom w:val="0"/>
      <w:divBdr>
        <w:top w:val="none" w:sz="0" w:space="0" w:color="auto"/>
        <w:left w:val="none" w:sz="0" w:space="0" w:color="auto"/>
        <w:bottom w:val="none" w:sz="0" w:space="0" w:color="auto"/>
        <w:right w:val="none" w:sz="0" w:space="0" w:color="auto"/>
      </w:divBdr>
    </w:div>
    <w:div w:id="1229999692">
      <w:bodyDiv w:val="1"/>
      <w:marLeft w:val="0"/>
      <w:marRight w:val="0"/>
      <w:marTop w:val="0"/>
      <w:marBottom w:val="0"/>
      <w:divBdr>
        <w:top w:val="none" w:sz="0" w:space="0" w:color="auto"/>
        <w:left w:val="none" w:sz="0" w:space="0" w:color="auto"/>
        <w:bottom w:val="none" w:sz="0" w:space="0" w:color="auto"/>
        <w:right w:val="none" w:sz="0" w:space="0" w:color="auto"/>
      </w:divBdr>
    </w:div>
    <w:div w:id="1242836358">
      <w:bodyDiv w:val="1"/>
      <w:marLeft w:val="0"/>
      <w:marRight w:val="0"/>
      <w:marTop w:val="0"/>
      <w:marBottom w:val="0"/>
      <w:divBdr>
        <w:top w:val="none" w:sz="0" w:space="0" w:color="auto"/>
        <w:left w:val="none" w:sz="0" w:space="0" w:color="auto"/>
        <w:bottom w:val="none" w:sz="0" w:space="0" w:color="auto"/>
        <w:right w:val="none" w:sz="0" w:space="0" w:color="auto"/>
      </w:divBdr>
    </w:div>
    <w:div w:id="1257712179">
      <w:bodyDiv w:val="1"/>
      <w:marLeft w:val="0"/>
      <w:marRight w:val="0"/>
      <w:marTop w:val="0"/>
      <w:marBottom w:val="0"/>
      <w:divBdr>
        <w:top w:val="none" w:sz="0" w:space="0" w:color="auto"/>
        <w:left w:val="none" w:sz="0" w:space="0" w:color="auto"/>
        <w:bottom w:val="none" w:sz="0" w:space="0" w:color="auto"/>
        <w:right w:val="none" w:sz="0" w:space="0" w:color="auto"/>
      </w:divBdr>
    </w:div>
    <w:div w:id="1271662018">
      <w:bodyDiv w:val="1"/>
      <w:marLeft w:val="0"/>
      <w:marRight w:val="0"/>
      <w:marTop w:val="0"/>
      <w:marBottom w:val="0"/>
      <w:divBdr>
        <w:top w:val="none" w:sz="0" w:space="0" w:color="auto"/>
        <w:left w:val="none" w:sz="0" w:space="0" w:color="auto"/>
        <w:bottom w:val="none" w:sz="0" w:space="0" w:color="auto"/>
        <w:right w:val="none" w:sz="0" w:space="0" w:color="auto"/>
      </w:divBdr>
    </w:div>
    <w:div w:id="1296453266">
      <w:bodyDiv w:val="1"/>
      <w:marLeft w:val="0"/>
      <w:marRight w:val="0"/>
      <w:marTop w:val="0"/>
      <w:marBottom w:val="0"/>
      <w:divBdr>
        <w:top w:val="none" w:sz="0" w:space="0" w:color="auto"/>
        <w:left w:val="none" w:sz="0" w:space="0" w:color="auto"/>
        <w:bottom w:val="none" w:sz="0" w:space="0" w:color="auto"/>
        <w:right w:val="none" w:sz="0" w:space="0" w:color="auto"/>
      </w:divBdr>
    </w:div>
    <w:div w:id="1301576085">
      <w:bodyDiv w:val="1"/>
      <w:marLeft w:val="0"/>
      <w:marRight w:val="0"/>
      <w:marTop w:val="0"/>
      <w:marBottom w:val="0"/>
      <w:divBdr>
        <w:top w:val="none" w:sz="0" w:space="0" w:color="auto"/>
        <w:left w:val="none" w:sz="0" w:space="0" w:color="auto"/>
        <w:bottom w:val="none" w:sz="0" w:space="0" w:color="auto"/>
        <w:right w:val="none" w:sz="0" w:space="0" w:color="auto"/>
      </w:divBdr>
    </w:div>
    <w:div w:id="1330905198">
      <w:bodyDiv w:val="1"/>
      <w:marLeft w:val="0"/>
      <w:marRight w:val="0"/>
      <w:marTop w:val="0"/>
      <w:marBottom w:val="0"/>
      <w:divBdr>
        <w:top w:val="none" w:sz="0" w:space="0" w:color="auto"/>
        <w:left w:val="none" w:sz="0" w:space="0" w:color="auto"/>
        <w:bottom w:val="none" w:sz="0" w:space="0" w:color="auto"/>
        <w:right w:val="none" w:sz="0" w:space="0" w:color="auto"/>
      </w:divBdr>
    </w:div>
    <w:div w:id="1351570231">
      <w:bodyDiv w:val="1"/>
      <w:marLeft w:val="0"/>
      <w:marRight w:val="0"/>
      <w:marTop w:val="0"/>
      <w:marBottom w:val="0"/>
      <w:divBdr>
        <w:top w:val="none" w:sz="0" w:space="0" w:color="auto"/>
        <w:left w:val="none" w:sz="0" w:space="0" w:color="auto"/>
        <w:bottom w:val="none" w:sz="0" w:space="0" w:color="auto"/>
        <w:right w:val="none" w:sz="0" w:space="0" w:color="auto"/>
      </w:divBdr>
    </w:div>
    <w:div w:id="1352336498">
      <w:bodyDiv w:val="1"/>
      <w:marLeft w:val="0"/>
      <w:marRight w:val="0"/>
      <w:marTop w:val="0"/>
      <w:marBottom w:val="0"/>
      <w:divBdr>
        <w:top w:val="none" w:sz="0" w:space="0" w:color="auto"/>
        <w:left w:val="none" w:sz="0" w:space="0" w:color="auto"/>
        <w:bottom w:val="none" w:sz="0" w:space="0" w:color="auto"/>
        <w:right w:val="none" w:sz="0" w:space="0" w:color="auto"/>
      </w:divBdr>
    </w:div>
    <w:div w:id="1359045345">
      <w:bodyDiv w:val="1"/>
      <w:marLeft w:val="0"/>
      <w:marRight w:val="0"/>
      <w:marTop w:val="0"/>
      <w:marBottom w:val="0"/>
      <w:divBdr>
        <w:top w:val="none" w:sz="0" w:space="0" w:color="auto"/>
        <w:left w:val="none" w:sz="0" w:space="0" w:color="auto"/>
        <w:bottom w:val="none" w:sz="0" w:space="0" w:color="auto"/>
        <w:right w:val="none" w:sz="0" w:space="0" w:color="auto"/>
      </w:divBdr>
    </w:div>
    <w:div w:id="1377974640">
      <w:bodyDiv w:val="1"/>
      <w:marLeft w:val="0"/>
      <w:marRight w:val="0"/>
      <w:marTop w:val="0"/>
      <w:marBottom w:val="0"/>
      <w:divBdr>
        <w:top w:val="none" w:sz="0" w:space="0" w:color="auto"/>
        <w:left w:val="none" w:sz="0" w:space="0" w:color="auto"/>
        <w:bottom w:val="none" w:sz="0" w:space="0" w:color="auto"/>
        <w:right w:val="none" w:sz="0" w:space="0" w:color="auto"/>
      </w:divBdr>
    </w:div>
    <w:div w:id="1382902418">
      <w:bodyDiv w:val="1"/>
      <w:marLeft w:val="0"/>
      <w:marRight w:val="0"/>
      <w:marTop w:val="0"/>
      <w:marBottom w:val="0"/>
      <w:divBdr>
        <w:top w:val="none" w:sz="0" w:space="0" w:color="auto"/>
        <w:left w:val="none" w:sz="0" w:space="0" w:color="auto"/>
        <w:bottom w:val="none" w:sz="0" w:space="0" w:color="auto"/>
        <w:right w:val="none" w:sz="0" w:space="0" w:color="auto"/>
      </w:divBdr>
    </w:div>
    <w:div w:id="1415083732">
      <w:bodyDiv w:val="1"/>
      <w:marLeft w:val="0"/>
      <w:marRight w:val="0"/>
      <w:marTop w:val="0"/>
      <w:marBottom w:val="0"/>
      <w:divBdr>
        <w:top w:val="none" w:sz="0" w:space="0" w:color="auto"/>
        <w:left w:val="none" w:sz="0" w:space="0" w:color="auto"/>
        <w:bottom w:val="none" w:sz="0" w:space="0" w:color="auto"/>
        <w:right w:val="none" w:sz="0" w:space="0" w:color="auto"/>
      </w:divBdr>
    </w:div>
    <w:div w:id="1448235992">
      <w:bodyDiv w:val="1"/>
      <w:marLeft w:val="0"/>
      <w:marRight w:val="0"/>
      <w:marTop w:val="0"/>
      <w:marBottom w:val="0"/>
      <w:divBdr>
        <w:top w:val="none" w:sz="0" w:space="0" w:color="auto"/>
        <w:left w:val="none" w:sz="0" w:space="0" w:color="auto"/>
        <w:bottom w:val="none" w:sz="0" w:space="0" w:color="auto"/>
        <w:right w:val="none" w:sz="0" w:space="0" w:color="auto"/>
      </w:divBdr>
    </w:div>
    <w:div w:id="1452820713">
      <w:bodyDiv w:val="1"/>
      <w:marLeft w:val="0"/>
      <w:marRight w:val="0"/>
      <w:marTop w:val="0"/>
      <w:marBottom w:val="0"/>
      <w:divBdr>
        <w:top w:val="none" w:sz="0" w:space="0" w:color="auto"/>
        <w:left w:val="none" w:sz="0" w:space="0" w:color="auto"/>
        <w:bottom w:val="none" w:sz="0" w:space="0" w:color="auto"/>
        <w:right w:val="none" w:sz="0" w:space="0" w:color="auto"/>
      </w:divBdr>
    </w:div>
    <w:div w:id="1460143271">
      <w:bodyDiv w:val="1"/>
      <w:marLeft w:val="0"/>
      <w:marRight w:val="0"/>
      <w:marTop w:val="0"/>
      <w:marBottom w:val="0"/>
      <w:divBdr>
        <w:top w:val="none" w:sz="0" w:space="0" w:color="auto"/>
        <w:left w:val="none" w:sz="0" w:space="0" w:color="auto"/>
        <w:bottom w:val="none" w:sz="0" w:space="0" w:color="auto"/>
        <w:right w:val="none" w:sz="0" w:space="0" w:color="auto"/>
      </w:divBdr>
    </w:div>
    <w:div w:id="1462724332">
      <w:bodyDiv w:val="1"/>
      <w:marLeft w:val="0"/>
      <w:marRight w:val="0"/>
      <w:marTop w:val="0"/>
      <w:marBottom w:val="0"/>
      <w:divBdr>
        <w:top w:val="none" w:sz="0" w:space="0" w:color="auto"/>
        <w:left w:val="none" w:sz="0" w:space="0" w:color="auto"/>
        <w:bottom w:val="none" w:sz="0" w:space="0" w:color="auto"/>
        <w:right w:val="none" w:sz="0" w:space="0" w:color="auto"/>
      </w:divBdr>
    </w:div>
    <w:div w:id="1464956542">
      <w:bodyDiv w:val="1"/>
      <w:marLeft w:val="0"/>
      <w:marRight w:val="0"/>
      <w:marTop w:val="0"/>
      <w:marBottom w:val="0"/>
      <w:divBdr>
        <w:top w:val="none" w:sz="0" w:space="0" w:color="auto"/>
        <w:left w:val="none" w:sz="0" w:space="0" w:color="auto"/>
        <w:bottom w:val="none" w:sz="0" w:space="0" w:color="auto"/>
        <w:right w:val="none" w:sz="0" w:space="0" w:color="auto"/>
      </w:divBdr>
    </w:div>
    <w:div w:id="1503084553">
      <w:bodyDiv w:val="1"/>
      <w:marLeft w:val="0"/>
      <w:marRight w:val="0"/>
      <w:marTop w:val="0"/>
      <w:marBottom w:val="0"/>
      <w:divBdr>
        <w:top w:val="none" w:sz="0" w:space="0" w:color="auto"/>
        <w:left w:val="none" w:sz="0" w:space="0" w:color="auto"/>
        <w:bottom w:val="none" w:sz="0" w:space="0" w:color="auto"/>
        <w:right w:val="none" w:sz="0" w:space="0" w:color="auto"/>
      </w:divBdr>
    </w:div>
    <w:div w:id="1509710434">
      <w:bodyDiv w:val="1"/>
      <w:marLeft w:val="0"/>
      <w:marRight w:val="0"/>
      <w:marTop w:val="0"/>
      <w:marBottom w:val="0"/>
      <w:divBdr>
        <w:top w:val="none" w:sz="0" w:space="0" w:color="auto"/>
        <w:left w:val="none" w:sz="0" w:space="0" w:color="auto"/>
        <w:bottom w:val="none" w:sz="0" w:space="0" w:color="auto"/>
        <w:right w:val="none" w:sz="0" w:space="0" w:color="auto"/>
      </w:divBdr>
    </w:div>
    <w:div w:id="1532912019">
      <w:bodyDiv w:val="1"/>
      <w:marLeft w:val="0"/>
      <w:marRight w:val="0"/>
      <w:marTop w:val="0"/>
      <w:marBottom w:val="0"/>
      <w:divBdr>
        <w:top w:val="none" w:sz="0" w:space="0" w:color="auto"/>
        <w:left w:val="none" w:sz="0" w:space="0" w:color="auto"/>
        <w:bottom w:val="none" w:sz="0" w:space="0" w:color="auto"/>
        <w:right w:val="none" w:sz="0" w:space="0" w:color="auto"/>
      </w:divBdr>
    </w:div>
    <w:div w:id="1551306274">
      <w:bodyDiv w:val="1"/>
      <w:marLeft w:val="0"/>
      <w:marRight w:val="0"/>
      <w:marTop w:val="0"/>
      <w:marBottom w:val="0"/>
      <w:divBdr>
        <w:top w:val="none" w:sz="0" w:space="0" w:color="auto"/>
        <w:left w:val="none" w:sz="0" w:space="0" w:color="auto"/>
        <w:bottom w:val="none" w:sz="0" w:space="0" w:color="auto"/>
        <w:right w:val="none" w:sz="0" w:space="0" w:color="auto"/>
      </w:divBdr>
    </w:div>
    <w:div w:id="1564102888">
      <w:bodyDiv w:val="1"/>
      <w:marLeft w:val="0"/>
      <w:marRight w:val="0"/>
      <w:marTop w:val="0"/>
      <w:marBottom w:val="0"/>
      <w:divBdr>
        <w:top w:val="none" w:sz="0" w:space="0" w:color="auto"/>
        <w:left w:val="none" w:sz="0" w:space="0" w:color="auto"/>
        <w:bottom w:val="none" w:sz="0" w:space="0" w:color="auto"/>
        <w:right w:val="none" w:sz="0" w:space="0" w:color="auto"/>
      </w:divBdr>
    </w:div>
    <w:div w:id="1567377559">
      <w:bodyDiv w:val="1"/>
      <w:marLeft w:val="0"/>
      <w:marRight w:val="0"/>
      <w:marTop w:val="0"/>
      <w:marBottom w:val="0"/>
      <w:divBdr>
        <w:top w:val="none" w:sz="0" w:space="0" w:color="auto"/>
        <w:left w:val="none" w:sz="0" w:space="0" w:color="auto"/>
        <w:bottom w:val="none" w:sz="0" w:space="0" w:color="auto"/>
        <w:right w:val="none" w:sz="0" w:space="0" w:color="auto"/>
      </w:divBdr>
    </w:div>
    <w:div w:id="1581600835">
      <w:bodyDiv w:val="1"/>
      <w:marLeft w:val="0"/>
      <w:marRight w:val="0"/>
      <w:marTop w:val="0"/>
      <w:marBottom w:val="0"/>
      <w:divBdr>
        <w:top w:val="none" w:sz="0" w:space="0" w:color="auto"/>
        <w:left w:val="none" w:sz="0" w:space="0" w:color="auto"/>
        <w:bottom w:val="none" w:sz="0" w:space="0" w:color="auto"/>
        <w:right w:val="none" w:sz="0" w:space="0" w:color="auto"/>
      </w:divBdr>
    </w:div>
    <w:div w:id="1582443103">
      <w:bodyDiv w:val="1"/>
      <w:marLeft w:val="0"/>
      <w:marRight w:val="0"/>
      <w:marTop w:val="0"/>
      <w:marBottom w:val="0"/>
      <w:divBdr>
        <w:top w:val="none" w:sz="0" w:space="0" w:color="auto"/>
        <w:left w:val="none" w:sz="0" w:space="0" w:color="auto"/>
        <w:bottom w:val="none" w:sz="0" w:space="0" w:color="auto"/>
        <w:right w:val="none" w:sz="0" w:space="0" w:color="auto"/>
      </w:divBdr>
    </w:div>
    <w:div w:id="1583643931">
      <w:bodyDiv w:val="1"/>
      <w:marLeft w:val="0"/>
      <w:marRight w:val="0"/>
      <w:marTop w:val="0"/>
      <w:marBottom w:val="0"/>
      <w:divBdr>
        <w:top w:val="none" w:sz="0" w:space="0" w:color="auto"/>
        <w:left w:val="none" w:sz="0" w:space="0" w:color="auto"/>
        <w:bottom w:val="none" w:sz="0" w:space="0" w:color="auto"/>
        <w:right w:val="none" w:sz="0" w:space="0" w:color="auto"/>
      </w:divBdr>
    </w:div>
    <w:div w:id="1589533238">
      <w:bodyDiv w:val="1"/>
      <w:marLeft w:val="0"/>
      <w:marRight w:val="0"/>
      <w:marTop w:val="0"/>
      <w:marBottom w:val="0"/>
      <w:divBdr>
        <w:top w:val="none" w:sz="0" w:space="0" w:color="auto"/>
        <w:left w:val="none" w:sz="0" w:space="0" w:color="auto"/>
        <w:bottom w:val="none" w:sz="0" w:space="0" w:color="auto"/>
        <w:right w:val="none" w:sz="0" w:space="0" w:color="auto"/>
      </w:divBdr>
    </w:div>
    <w:div w:id="1638417086">
      <w:bodyDiv w:val="1"/>
      <w:marLeft w:val="0"/>
      <w:marRight w:val="0"/>
      <w:marTop w:val="0"/>
      <w:marBottom w:val="0"/>
      <w:divBdr>
        <w:top w:val="none" w:sz="0" w:space="0" w:color="auto"/>
        <w:left w:val="none" w:sz="0" w:space="0" w:color="auto"/>
        <w:bottom w:val="none" w:sz="0" w:space="0" w:color="auto"/>
        <w:right w:val="none" w:sz="0" w:space="0" w:color="auto"/>
      </w:divBdr>
    </w:div>
    <w:div w:id="1639144488">
      <w:bodyDiv w:val="1"/>
      <w:marLeft w:val="0"/>
      <w:marRight w:val="0"/>
      <w:marTop w:val="0"/>
      <w:marBottom w:val="0"/>
      <w:divBdr>
        <w:top w:val="none" w:sz="0" w:space="0" w:color="auto"/>
        <w:left w:val="none" w:sz="0" w:space="0" w:color="auto"/>
        <w:bottom w:val="none" w:sz="0" w:space="0" w:color="auto"/>
        <w:right w:val="none" w:sz="0" w:space="0" w:color="auto"/>
      </w:divBdr>
    </w:div>
    <w:div w:id="1744329010">
      <w:bodyDiv w:val="1"/>
      <w:marLeft w:val="0"/>
      <w:marRight w:val="0"/>
      <w:marTop w:val="0"/>
      <w:marBottom w:val="0"/>
      <w:divBdr>
        <w:top w:val="none" w:sz="0" w:space="0" w:color="auto"/>
        <w:left w:val="none" w:sz="0" w:space="0" w:color="auto"/>
        <w:bottom w:val="none" w:sz="0" w:space="0" w:color="auto"/>
        <w:right w:val="none" w:sz="0" w:space="0" w:color="auto"/>
      </w:divBdr>
    </w:div>
    <w:div w:id="1773355580">
      <w:bodyDiv w:val="1"/>
      <w:marLeft w:val="0"/>
      <w:marRight w:val="0"/>
      <w:marTop w:val="0"/>
      <w:marBottom w:val="0"/>
      <w:divBdr>
        <w:top w:val="none" w:sz="0" w:space="0" w:color="auto"/>
        <w:left w:val="none" w:sz="0" w:space="0" w:color="auto"/>
        <w:bottom w:val="none" w:sz="0" w:space="0" w:color="auto"/>
        <w:right w:val="none" w:sz="0" w:space="0" w:color="auto"/>
      </w:divBdr>
    </w:div>
    <w:div w:id="1778941222">
      <w:bodyDiv w:val="1"/>
      <w:marLeft w:val="0"/>
      <w:marRight w:val="0"/>
      <w:marTop w:val="0"/>
      <w:marBottom w:val="0"/>
      <w:divBdr>
        <w:top w:val="none" w:sz="0" w:space="0" w:color="auto"/>
        <w:left w:val="none" w:sz="0" w:space="0" w:color="auto"/>
        <w:bottom w:val="none" w:sz="0" w:space="0" w:color="auto"/>
        <w:right w:val="none" w:sz="0" w:space="0" w:color="auto"/>
      </w:divBdr>
    </w:div>
    <w:div w:id="1798448569">
      <w:bodyDiv w:val="1"/>
      <w:marLeft w:val="0"/>
      <w:marRight w:val="0"/>
      <w:marTop w:val="0"/>
      <w:marBottom w:val="0"/>
      <w:divBdr>
        <w:top w:val="none" w:sz="0" w:space="0" w:color="auto"/>
        <w:left w:val="none" w:sz="0" w:space="0" w:color="auto"/>
        <w:bottom w:val="none" w:sz="0" w:space="0" w:color="auto"/>
        <w:right w:val="none" w:sz="0" w:space="0" w:color="auto"/>
      </w:divBdr>
    </w:div>
    <w:div w:id="1834176224">
      <w:bodyDiv w:val="1"/>
      <w:marLeft w:val="0"/>
      <w:marRight w:val="0"/>
      <w:marTop w:val="0"/>
      <w:marBottom w:val="0"/>
      <w:divBdr>
        <w:top w:val="none" w:sz="0" w:space="0" w:color="auto"/>
        <w:left w:val="none" w:sz="0" w:space="0" w:color="auto"/>
        <w:bottom w:val="none" w:sz="0" w:space="0" w:color="auto"/>
        <w:right w:val="none" w:sz="0" w:space="0" w:color="auto"/>
      </w:divBdr>
    </w:div>
    <w:div w:id="1841237835">
      <w:bodyDiv w:val="1"/>
      <w:marLeft w:val="0"/>
      <w:marRight w:val="0"/>
      <w:marTop w:val="0"/>
      <w:marBottom w:val="0"/>
      <w:divBdr>
        <w:top w:val="none" w:sz="0" w:space="0" w:color="auto"/>
        <w:left w:val="none" w:sz="0" w:space="0" w:color="auto"/>
        <w:bottom w:val="none" w:sz="0" w:space="0" w:color="auto"/>
        <w:right w:val="none" w:sz="0" w:space="0" w:color="auto"/>
      </w:divBdr>
    </w:div>
    <w:div w:id="1901549044">
      <w:bodyDiv w:val="1"/>
      <w:marLeft w:val="0"/>
      <w:marRight w:val="0"/>
      <w:marTop w:val="0"/>
      <w:marBottom w:val="0"/>
      <w:divBdr>
        <w:top w:val="none" w:sz="0" w:space="0" w:color="auto"/>
        <w:left w:val="none" w:sz="0" w:space="0" w:color="auto"/>
        <w:bottom w:val="none" w:sz="0" w:space="0" w:color="auto"/>
        <w:right w:val="none" w:sz="0" w:space="0" w:color="auto"/>
      </w:divBdr>
    </w:div>
    <w:div w:id="1992907773">
      <w:bodyDiv w:val="1"/>
      <w:marLeft w:val="0"/>
      <w:marRight w:val="0"/>
      <w:marTop w:val="0"/>
      <w:marBottom w:val="0"/>
      <w:divBdr>
        <w:top w:val="none" w:sz="0" w:space="0" w:color="auto"/>
        <w:left w:val="none" w:sz="0" w:space="0" w:color="auto"/>
        <w:bottom w:val="none" w:sz="0" w:space="0" w:color="auto"/>
        <w:right w:val="none" w:sz="0" w:space="0" w:color="auto"/>
      </w:divBdr>
    </w:div>
    <w:div w:id="2000570761">
      <w:bodyDiv w:val="1"/>
      <w:marLeft w:val="0"/>
      <w:marRight w:val="0"/>
      <w:marTop w:val="0"/>
      <w:marBottom w:val="0"/>
      <w:divBdr>
        <w:top w:val="none" w:sz="0" w:space="0" w:color="auto"/>
        <w:left w:val="none" w:sz="0" w:space="0" w:color="auto"/>
        <w:bottom w:val="none" w:sz="0" w:space="0" w:color="auto"/>
        <w:right w:val="none" w:sz="0" w:space="0" w:color="auto"/>
      </w:divBdr>
    </w:div>
    <w:div w:id="2055033194">
      <w:bodyDiv w:val="1"/>
      <w:marLeft w:val="0"/>
      <w:marRight w:val="0"/>
      <w:marTop w:val="0"/>
      <w:marBottom w:val="0"/>
      <w:divBdr>
        <w:top w:val="none" w:sz="0" w:space="0" w:color="auto"/>
        <w:left w:val="none" w:sz="0" w:space="0" w:color="auto"/>
        <w:bottom w:val="none" w:sz="0" w:space="0" w:color="auto"/>
        <w:right w:val="none" w:sz="0" w:space="0" w:color="auto"/>
      </w:divBdr>
    </w:div>
    <w:div w:id="20585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bmc-benefits.com/VaProviderNetwork/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oa.virginia.gov/Payroll/Payroll_Bulletins/Payroll_Bulletins_Ma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3671-C2A6-4254-B490-5900F378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6241</TotalTime>
  <Pages>3</Pages>
  <Words>1203</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8243</CharactersWithSpaces>
  <SharedDoc>false</SharedDoc>
  <HLinks>
    <vt:vector size="24" baseType="variant">
      <vt:variant>
        <vt:i4>3276801</vt:i4>
      </vt:variant>
      <vt:variant>
        <vt:i4>3</vt:i4>
      </vt:variant>
      <vt:variant>
        <vt:i4>0</vt:i4>
      </vt:variant>
      <vt:variant>
        <vt:i4>5</vt:i4>
      </vt:variant>
      <vt:variant>
        <vt:lpwstr>mailto:denise.halderman@doa.virginia.gov</vt:lpwstr>
      </vt:variant>
      <vt:variant>
        <vt:lpwstr/>
      </vt:variant>
      <vt:variant>
        <vt:i4>8061003</vt:i4>
      </vt:variant>
      <vt:variant>
        <vt:i4>0</vt:i4>
      </vt:variant>
      <vt:variant>
        <vt:i4>0</vt:i4>
      </vt:variant>
      <vt:variant>
        <vt:i4>5</vt:i4>
      </vt:variant>
      <vt:variant>
        <vt:lpwstr>mailto:cathy.mcgill@doa.virginia.gov</vt:lpwstr>
      </vt:variant>
      <vt:variant>
        <vt:lpwstr/>
      </vt:variant>
      <vt:variant>
        <vt:i4>6619207</vt:i4>
      </vt:variant>
      <vt:variant>
        <vt:i4>15</vt:i4>
      </vt:variant>
      <vt:variant>
        <vt:i4>0</vt:i4>
      </vt:variant>
      <vt:variant>
        <vt:i4>5</vt:i4>
      </vt:variant>
      <vt:variant>
        <vt:lpwstr>http://www.doa.virginia.gov/Payroll/Payroll_Bulletins/Payroll_Bulletins_Main.cfm</vt:lpwstr>
      </vt:variant>
      <vt:variant>
        <vt:lpwstr/>
      </vt:variant>
      <vt:variant>
        <vt:i4>6619207</vt:i4>
      </vt:variant>
      <vt:variant>
        <vt:i4>6</vt:i4>
      </vt:variant>
      <vt:variant>
        <vt:i4>0</vt:i4>
      </vt:variant>
      <vt:variant>
        <vt:i4>5</vt:i4>
      </vt:variant>
      <vt:variant>
        <vt:lpwstr>http://www.doa.virginia.gov/Payroll/Payroll_Bulletins/Payroll_Bulletins_Main.cfm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McGill, Cathy (DOA)</dc:creator>
  <cp:lastModifiedBy>McGill, Cathy (DOA)</cp:lastModifiedBy>
  <cp:revision>36</cp:revision>
  <dcterms:created xsi:type="dcterms:W3CDTF">2024-11-01T17:21:00Z</dcterms:created>
  <dcterms:modified xsi:type="dcterms:W3CDTF">2024-11-20T19:01:00Z</dcterms:modified>
</cp:coreProperties>
</file>