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430366" w14:textId="77777777" w:rsidR="007C617C" w:rsidRDefault="007C617C">
      <w:pPr>
        <w:pStyle w:val="Header"/>
        <w:pBdr>
          <w:top w:val="single" w:sz="12" w:space="1" w:color="auto" w:shadow="1"/>
          <w:left w:val="single" w:sz="12" w:space="1" w:color="auto" w:shadow="1"/>
          <w:bottom w:val="single" w:sz="12" w:space="1" w:color="auto" w:shadow="1"/>
          <w:right w:val="single" w:sz="12" w:space="1" w:color="auto" w:shadow="1"/>
        </w:pBdr>
        <w:ind w:right="36"/>
        <w:jc w:val="center"/>
        <w:rPr>
          <w:b/>
          <w:i/>
          <w:sz w:val="36"/>
        </w:rPr>
      </w:pPr>
      <w:r>
        <w:rPr>
          <w:b/>
          <w:i/>
          <w:sz w:val="36"/>
        </w:rPr>
        <w:t>Department of Accounts</w:t>
      </w:r>
    </w:p>
    <w:p w14:paraId="6AE60A50" w14:textId="77777777" w:rsidR="007C617C" w:rsidRDefault="007C617C">
      <w:pPr>
        <w:pStyle w:val="Header"/>
        <w:pBdr>
          <w:top w:val="single" w:sz="12" w:space="1" w:color="auto" w:shadow="1"/>
          <w:left w:val="single" w:sz="12" w:space="1" w:color="auto" w:shadow="1"/>
          <w:bottom w:val="single" w:sz="12" w:space="1" w:color="auto" w:shadow="1"/>
          <w:right w:val="single" w:sz="12" w:space="1" w:color="auto" w:shadow="1"/>
        </w:pBdr>
        <w:ind w:right="36"/>
        <w:jc w:val="center"/>
        <w:rPr>
          <w:b/>
          <w:i/>
          <w:sz w:val="36"/>
        </w:rPr>
      </w:pPr>
      <w:r>
        <w:rPr>
          <w:b/>
          <w:i/>
          <w:sz w:val="36"/>
        </w:rPr>
        <w:t>Payroll Bulletin</w:t>
      </w:r>
    </w:p>
    <w:p w14:paraId="162689FD" w14:textId="77777777" w:rsidR="007C617C" w:rsidRDefault="007C617C">
      <w:pPr>
        <w:pStyle w:val="Header"/>
        <w:jc w:val="center"/>
        <w:rPr>
          <w:sz w:val="16"/>
        </w:rPr>
      </w:pPr>
    </w:p>
    <w:tbl>
      <w:tblPr>
        <w:tblW w:w="0" w:type="auto"/>
        <w:tblLayout w:type="fixed"/>
        <w:tblLook w:val="0000" w:firstRow="0" w:lastRow="0" w:firstColumn="0" w:lastColumn="0" w:noHBand="0" w:noVBand="0"/>
      </w:tblPr>
      <w:tblGrid>
        <w:gridCol w:w="3366"/>
        <w:gridCol w:w="3366"/>
        <w:gridCol w:w="4068"/>
      </w:tblGrid>
      <w:tr w:rsidR="007C617C" w14:paraId="534E149F" w14:textId="77777777" w:rsidTr="000E7A16">
        <w:trPr>
          <w:cantSplit/>
        </w:trPr>
        <w:tc>
          <w:tcPr>
            <w:tcW w:w="3366" w:type="dxa"/>
            <w:tcBorders>
              <w:bottom w:val="double" w:sz="6" w:space="0" w:color="auto"/>
            </w:tcBorders>
          </w:tcPr>
          <w:p w14:paraId="5F886A2D" w14:textId="56480CC7" w:rsidR="007C617C" w:rsidRDefault="007C617C" w:rsidP="00245C08">
            <w:pPr>
              <w:pStyle w:val="Header"/>
              <w:rPr>
                <w:b/>
                <w:sz w:val="20"/>
              </w:rPr>
            </w:pPr>
            <w:r>
              <w:rPr>
                <w:b/>
                <w:sz w:val="20"/>
              </w:rPr>
              <w:t xml:space="preserve">Calendar Year </w:t>
            </w:r>
            <w:r w:rsidR="00DB6731">
              <w:rPr>
                <w:b/>
                <w:sz w:val="20"/>
              </w:rPr>
              <w:t>2024</w:t>
            </w:r>
          </w:p>
        </w:tc>
        <w:tc>
          <w:tcPr>
            <w:tcW w:w="3366" w:type="dxa"/>
            <w:tcBorders>
              <w:bottom w:val="double" w:sz="6" w:space="0" w:color="auto"/>
            </w:tcBorders>
          </w:tcPr>
          <w:p w14:paraId="0F5E3431" w14:textId="68E1C797" w:rsidR="007C617C" w:rsidRDefault="00C301AE" w:rsidP="00245C08">
            <w:pPr>
              <w:pStyle w:val="Header"/>
              <w:jc w:val="center"/>
              <w:rPr>
                <w:b/>
                <w:sz w:val="20"/>
              </w:rPr>
            </w:pPr>
            <w:r>
              <w:rPr>
                <w:b/>
                <w:sz w:val="20"/>
              </w:rPr>
              <w:t xml:space="preserve">November </w:t>
            </w:r>
            <w:r w:rsidR="004309E8">
              <w:rPr>
                <w:b/>
                <w:sz w:val="20"/>
              </w:rPr>
              <w:t>15</w:t>
            </w:r>
            <w:r>
              <w:rPr>
                <w:b/>
                <w:sz w:val="20"/>
              </w:rPr>
              <w:t xml:space="preserve">, </w:t>
            </w:r>
            <w:r w:rsidR="00DB6731">
              <w:rPr>
                <w:b/>
                <w:sz w:val="20"/>
              </w:rPr>
              <w:t>2024</w:t>
            </w:r>
          </w:p>
        </w:tc>
        <w:tc>
          <w:tcPr>
            <w:tcW w:w="4068" w:type="dxa"/>
            <w:tcBorders>
              <w:bottom w:val="double" w:sz="6" w:space="0" w:color="auto"/>
            </w:tcBorders>
          </w:tcPr>
          <w:p w14:paraId="2C04E83C" w14:textId="62DD6AB6" w:rsidR="007C617C" w:rsidRDefault="007C617C" w:rsidP="00245C08">
            <w:pPr>
              <w:pStyle w:val="Header"/>
              <w:jc w:val="right"/>
              <w:rPr>
                <w:b/>
                <w:sz w:val="20"/>
              </w:rPr>
            </w:pPr>
            <w:r>
              <w:rPr>
                <w:b/>
                <w:sz w:val="20"/>
              </w:rPr>
              <w:t xml:space="preserve">Volume </w:t>
            </w:r>
            <w:r w:rsidR="00DB6731">
              <w:rPr>
                <w:b/>
                <w:sz w:val="20"/>
              </w:rPr>
              <w:t>2024</w:t>
            </w:r>
            <w:r w:rsidR="00304474">
              <w:rPr>
                <w:b/>
                <w:sz w:val="20"/>
              </w:rPr>
              <w:t>-</w:t>
            </w:r>
            <w:r w:rsidR="0097269A">
              <w:rPr>
                <w:b/>
                <w:sz w:val="20"/>
              </w:rPr>
              <w:t>1</w:t>
            </w:r>
            <w:r w:rsidR="005D22F2">
              <w:rPr>
                <w:b/>
                <w:sz w:val="20"/>
              </w:rPr>
              <w:t>2</w:t>
            </w:r>
          </w:p>
        </w:tc>
      </w:tr>
    </w:tbl>
    <w:p w14:paraId="7579F4E5" w14:textId="77777777" w:rsidR="00ED0B4A" w:rsidRPr="00D467F1" w:rsidRDefault="00ED0B4A" w:rsidP="00ED0B4A">
      <w:pPr>
        <w:rPr>
          <w:sz w:val="16"/>
          <w:szCs w:val="16"/>
        </w:rPr>
      </w:pPr>
    </w:p>
    <w:tbl>
      <w:tblPr>
        <w:tblW w:w="10890" w:type="dxa"/>
        <w:jc w:val="center"/>
        <w:tblLook w:val="01E0" w:firstRow="1" w:lastRow="1" w:firstColumn="1" w:lastColumn="1" w:noHBand="0" w:noVBand="0"/>
      </w:tblPr>
      <w:tblGrid>
        <w:gridCol w:w="2324"/>
        <w:gridCol w:w="4522"/>
        <w:gridCol w:w="4044"/>
      </w:tblGrid>
      <w:tr w:rsidR="002775F4" w14:paraId="0573D6D6" w14:textId="77777777" w:rsidTr="000E7A16">
        <w:trPr>
          <w:trHeight w:val="2595"/>
          <w:jc w:val="center"/>
        </w:trPr>
        <w:tc>
          <w:tcPr>
            <w:tcW w:w="2324" w:type="dxa"/>
          </w:tcPr>
          <w:p w14:paraId="62B4ECED" w14:textId="77777777" w:rsidR="002775F4" w:rsidRPr="00E6267E" w:rsidRDefault="002775F4" w:rsidP="00E6267E">
            <w:pPr>
              <w:tabs>
                <w:tab w:val="left" w:pos="990"/>
              </w:tabs>
              <w:spacing w:before="120"/>
              <w:rPr>
                <w:i/>
                <w:sz w:val="32"/>
                <w:szCs w:val="32"/>
              </w:rPr>
            </w:pPr>
            <w:r w:rsidRPr="00E6267E">
              <w:rPr>
                <w:i/>
                <w:sz w:val="32"/>
                <w:szCs w:val="32"/>
              </w:rPr>
              <w:t>In This Issue of the Payroll Bulletin…....</w:t>
            </w:r>
          </w:p>
          <w:p w14:paraId="51F22420" w14:textId="77777777" w:rsidR="002775F4" w:rsidRPr="00E6267E" w:rsidRDefault="002775F4" w:rsidP="00E6267E">
            <w:pPr>
              <w:spacing w:before="120"/>
              <w:rPr>
                <w:b/>
              </w:rPr>
            </w:pPr>
          </w:p>
        </w:tc>
        <w:tc>
          <w:tcPr>
            <w:tcW w:w="4522" w:type="dxa"/>
          </w:tcPr>
          <w:p w14:paraId="5160CC45" w14:textId="0D540B30" w:rsidR="00970855" w:rsidRPr="003369CA" w:rsidRDefault="00DB6731" w:rsidP="00F4555B">
            <w:pPr>
              <w:numPr>
                <w:ilvl w:val="0"/>
                <w:numId w:val="1"/>
              </w:numPr>
              <w:rPr>
                <w:b/>
                <w:szCs w:val="24"/>
              </w:rPr>
            </w:pPr>
            <w:r>
              <w:rPr>
                <w:b/>
                <w:sz w:val="22"/>
                <w:szCs w:val="22"/>
              </w:rPr>
              <w:t>2024</w:t>
            </w:r>
            <w:r w:rsidR="004D35C8" w:rsidRPr="00970855">
              <w:rPr>
                <w:b/>
                <w:sz w:val="22"/>
                <w:szCs w:val="22"/>
              </w:rPr>
              <w:t xml:space="preserve"> Imputed Income for Terminated ORP Participants Eligible for Continued Group Life</w:t>
            </w:r>
          </w:p>
          <w:p w14:paraId="09895B72" w14:textId="144CA196" w:rsidR="003369CA" w:rsidRPr="002E3595" w:rsidRDefault="003369CA" w:rsidP="00FF1B22">
            <w:pPr>
              <w:ind w:left="180"/>
              <w:rPr>
                <w:b/>
                <w:szCs w:val="24"/>
              </w:rPr>
            </w:pPr>
          </w:p>
          <w:p w14:paraId="7585D8DC" w14:textId="77777777" w:rsidR="002E3595" w:rsidRPr="002E3595" w:rsidRDefault="002E3595" w:rsidP="00FD48CA">
            <w:pPr>
              <w:ind w:left="540"/>
              <w:rPr>
                <w:b/>
                <w:sz w:val="22"/>
                <w:szCs w:val="22"/>
              </w:rPr>
            </w:pPr>
          </w:p>
        </w:tc>
        <w:tc>
          <w:tcPr>
            <w:tcW w:w="4044" w:type="dxa"/>
          </w:tcPr>
          <w:p w14:paraId="2ADD75D2" w14:textId="22BDD396" w:rsidR="002775F4" w:rsidRPr="00E6267E" w:rsidRDefault="002775F4" w:rsidP="009C5FC2">
            <w:pPr>
              <w:tabs>
                <w:tab w:val="left" w:pos="990"/>
              </w:tabs>
              <w:spacing w:before="120"/>
              <w:rPr>
                <w:sz w:val="20"/>
              </w:rPr>
            </w:pPr>
            <w:r w:rsidRPr="00E6267E">
              <w:rPr>
                <w:sz w:val="20"/>
              </w:rPr>
              <w:t xml:space="preserve">The Payroll Bulletin is published periodically to provide CIPPS agencies guidance regarding Commonwealth payroll operations.  If you have any questions about the bulletin, </w:t>
            </w:r>
            <w:proofErr w:type="gramStart"/>
            <w:r w:rsidRPr="00E6267E">
              <w:rPr>
                <w:sz w:val="20"/>
              </w:rPr>
              <w:t xml:space="preserve">please </w:t>
            </w:r>
            <w:r w:rsidR="00F76C77">
              <w:rPr>
                <w:sz w:val="20"/>
              </w:rPr>
              <w:t xml:space="preserve"> </w:t>
            </w:r>
            <w:r w:rsidR="008F54EA">
              <w:rPr>
                <w:sz w:val="20"/>
              </w:rPr>
              <w:t>e</w:t>
            </w:r>
            <w:r w:rsidRPr="00E6267E">
              <w:rPr>
                <w:sz w:val="20"/>
              </w:rPr>
              <w:t>mail</w:t>
            </w:r>
            <w:proofErr w:type="gramEnd"/>
            <w:r w:rsidRPr="00E6267E">
              <w:rPr>
                <w:sz w:val="20"/>
              </w:rPr>
              <w:t xml:space="preserve">  </w:t>
            </w:r>
            <w:hyperlink r:id="rId8" w:history="1">
              <w:r w:rsidR="009C5FC2" w:rsidRPr="00A85972">
                <w:rPr>
                  <w:rStyle w:val="Hyperlink"/>
                  <w:sz w:val="20"/>
                </w:rPr>
                <w:t>payroll@doa.virginia.gov</w:t>
              </w:r>
            </w:hyperlink>
          </w:p>
          <w:p w14:paraId="0CFDC38C" w14:textId="77777777" w:rsidR="002775F4" w:rsidRPr="00E6267E" w:rsidRDefault="002775F4" w:rsidP="006057A4">
            <w:pPr>
              <w:tabs>
                <w:tab w:val="left" w:pos="990"/>
              </w:tabs>
              <w:spacing w:before="120"/>
              <w:jc w:val="center"/>
              <w:rPr>
                <w:sz w:val="20"/>
                <w:u w:val="single"/>
              </w:rPr>
            </w:pPr>
            <w:r w:rsidRPr="00E6267E">
              <w:rPr>
                <w:sz w:val="20"/>
                <w:u w:val="single"/>
              </w:rPr>
              <w:t>State Payroll Operations</w:t>
            </w:r>
          </w:p>
          <w:p w14:paraId="7E43858E" w14:textId="77777777" w:rsidR="002775F4" w:rsidRDefault="002775F4" w:rsidP="006057A4">
            <w:pPr>
              <w:tabs>
                <w:tab w:val="left" w:pos="990"/>
              </w:tabs>
              <w:spacing w:before="120"/>
              <w:jc w:val="center"/>
              <w:rPr>
                <w:b/>
                <w:sz w:val="20"/>
              </w:rPr>
            </w:pPr>
            <w:r w:rsidRPr="00E6267E">
              <w:rPr>
                <w:b/>
                <w:sz w:val="20"/>
              </w:rPr>
              <w:t xml:space="preserve">Director                         </w:t>
            </w:r>
            <w:r w:rsidR="006057A4">
              <w:rPr>
                <w:b/>
                <w:sz w:val="20"/>
              </w:rPr>
              <w:t>Cathy C. McGill</w:t>
            </w:r>
          </w:p>
          <w:p w14:paraId="7F67A586" w14:textId="77777777" w:rsidR="00913E4D" w:rsidRPr="00913E4D" w:rsidRDefault="00913E4D" w:rsidP="00913E4D">
            <w:pPr>
              <w:tabs>
                <w:tab w:val="left" w:pos="990"/>
              </w:tabs>
              <w:spacing w:before="120"/>
              <w:rPr>
                <w:sz w:val="20"/>
              </w:rPr>
            </w:pPr>
            <w:r>
              <w:rPr>
                <w:b/>
                <w:sz w:val="20"/>
              </w:rPr>
              <w:t xml:space="preserve">    </w:t>
            </w:r>
            <w:r>
              <w:rPr>
                <w:sz w:val="20"/>
              </w:rPr>
              <w:t>Assistant Director           Carmelita Holmes</w:t>
            </w:r>
          </w:p>
          <w:p w14:paraId="4645F925" w14:textId="77777777" w:rsidR="002775F4" w:rsidRPr="00E6267E" w:rsidRDefault="002775F4" w:rsidP="006057A4">
            <w:pPr>
              <w:tabs>
                <w:tab w:val="left" w:pos="990"/>
              </w:tabs>
              <w:spacing w:before="120"/>
              <w:jc w:val="center"/>
              <w:rPr>
                <w:szCs w:val="24"/>
              </w:rPr>
            </w:pPr>
          </w:p>
        </w:tc>
      </w:tr>
    </w:tbl>
    <w:p w14:paraId="480593C7" w14:textId="77777777" w:rsidR="00E1485E" w:rsidRDefault="00E1485E" w:rsidP="00E1485E">
      <w:pPr>
        <w:pStyle w:val="BlockLine"/>
        <w:spacing w:before="0"/>
        <w:ind w:left="1354"/>
        <w:rPr>
          <w:sz w:val="16"/>
          <w:szCs w:val="16"/>
        </w:rPr>
      </w:pPr>
    </w:p>
    <w:p w14:paraId="19031070" w14:textId="1BD0AB87" w:rsidR="004D35C8" w:rsidRPr="008921FC" w:rsidRDefault="00DB6731" w:rsidP="004D35C8">
      <w:pPr>
        <w:rPr>
          <w:sz w:val="26"/>
          <w:szCs w:val="26"/>
        </w:rPr>
      </w:pPr>
      <w:r>
        <w:rPr>
          <w:b/>
          <w:bCs/>
          <w:sz w:val="26"/>
          <w:szCs w:val="26"/>
        </w:rPr>
        <w:t>2024</w:t>
      </w:r>
      <w:r w:rsidR="004D35C8" w:rsidRPr="008921FC">
        <w:rPr>
          <w:b/>
          <w:bCs/>
          <w:sz w:val="26"/>
          <w:szCs w:val="26"/>
        </w:rPr>
        <w:t xml:space="preserve"> Imputed Income for Terminated ORP Participants Eligible for Continued Group Life</w:t>
      </w:r>
    </w:p>
    <w:p w14:paraId="259A55AE" w14:textId="77777777" w:rsidR="004D35C8" w:rsidRDefault="004D35C8" w:rsidP="004D35C8">
      <w:pPr>
        <w:pStyle w:val="BlockLine"/>
        <w:spacing w:before="120"/>
        <w:ind w:left="1350"/>
        <w:rPr>
          <w:sz w:val="16"/>
          <w:szCs w:val="16"/>
        </w:rPr>
      </w:pPr>
    </w:p>
    <w:tbl>
      <w:tblPr>
        <w:tblW w:w="10890" w:type="dxa"/>
        <w:tblInd w:w="18" w:type="dxa"/>
        <w:tblLayout w:type="fixed"/>
        <w:tblLook w:val="0000" w:firstRow="0" w:lastRow="0" w:firstColumn="0" w:lastColumn="0" w:noHBand="0" w:noVBand="0"/>
      </w:tblPr>
      <w:tblGrid>
        <w:gridCol w:w="1620"/>
        <w:gridCol w:w="9270"/>
      </w:tblGrid>
      <w:tr w:rsidR="004D35C8" w:rsidRPr="003C662B" w14:paraId="566A8127" w14:textId="77777777" w:rsidTr="006C52CC">
        <w:trPr>
          <w:cantSplit/>
          <w:trHeight w:val="612"/>
        </w:trPr>
        <w:tc>
          <w:tcPr>
            <w:tcW w:w="1620" w:type="dxa"/>
          </w:tcPr>
          <w:p w14:paraId="2CD5C882" w14:textId="77777777" w:rsidR="004D35C8" w:rsidRPr="00865E01" w:rsidRDefault="004D35C8" w:rsidP="006C52CC">
            <w:pPr>
              <w:pStyle w:val="Heading5"/>
              <w:rPr>
                <w:rFonts w:ascii="Times New Roman Bold" w:hAnsi="Times New Roman Bold"/>
                <w:bCs/>
                <w:szCs w:val="22"/>
              </w:rPr>
            </w:pPr>
            <w:r w:rsidRPr="00865E01">
              <w:rPr>
                <w:rFonts w:ascii="Times New Roman Bold" w:hAnsi="Times New Roman Bold"/>
                <w:bCs/>
                <w:szCs w:val="22"/>
              </w:rPr>
              <w:t>IRS Regulations</w:t>
            </w:r>
          </w:p>
        </w:tc>
        <w:tc>
          <w:tcPr>
            <w:tcW w:w="9270" w:type="dxa"/>
          </w:tcPr>
          <w:p w14:paraId="2079E3F8" w14:textId="77777777" w:rsidR="004D35C8" w:rsidRPr="00E02758" w:rsidRDefault="004D35C8" w:rsidP="006C52CC">
            <w:pPr>
              <w:rPr>
                <w:sz w:val="22"/>
                <w:szCs w:val="22"/>
              </w:rPr>
            </w:pPr>
            <w:r w:rsidRPr="00E02758">
              <w:rPr>
                <w:sz w:val="22"/>
                <w:szCs w:val="22"/>
              </w:rPr>
              <w:t xml:space="preserve">Many colleges, universities and agencies with political appointees have employees who choose to participate in one of the Optional Retirement Plans in lieu of VRS.  One of the benefits that these employees may continue to receive for </w:t>
            </w:r>
            <w:proofErr w:type="gramStart"/>
            <w:r w:rsidRPr="00E02758">
              <w:rPr>
                <w:sz w:val="22"/>
                <w:szCs w:val="22"/>
              </w:rPr>
              <w:t>a period of time</w:t>
            </w:r>
            <w:proofErr w:type="gramEnd"/>
            <w:r w:rsidRPr="00E02758">
              <w:rPr>
                <w:sz w:val="22"/>
                <w:szCs w:val="22"/>
              </w:rPr>
              <w:t xml:space="preserve"> once they have </w:t>
            </w:r>
            <w:r w:rsidRPr="00E02758">
              <w:rPr>
                <w:b/>
                <w:sz w:val="22"/>
                <w:szCs w:val="22"/>
              </w:rPr>
              <w:t>terminated</w:t>
            </w:r>
            <w:r w:rsidRPr="00E02758">
              <w:rPr>
                <w:sz w:val="22"/>
                <w:szCs w:val="22"/>
              </w:rPr>
              <w:t xml:space="preserve"> from state service is coverage under the State’s Group Term Life (GTL) policy, provided they meet the age/service guidelines VRS requires for retirement.  If the employee is eligible for continued group term life insurance coverage and the amount of the coverage exceeds $50,000, then imputed income must be calculated and reported on a W-2 for the former employee.  </w:t>
            </w:r>
          </w:p>
          <w:p w14:paraId="7F2B522B" w14:textId="77777777" w:rsidR="004D35C8" w:rsidRPr="00E02758" w:rsidRDefault="004D35C8" w:rsidP="006C52CC">
            <w:pPr>
              <w:rPr>
                <w:sz w:val="22"/>
                <w:szCs w:val="22"/>
              </w:rPr>
            </w:pPr>
          </w:p>
          <w:p w14:paraId="3BFC3ADA" w14:textId="4CE5DE36" w:rsidR="004D35C8" w:rsidRPr="00AB4768" w:rsidRDefault="004D35C8" w:rsidP="009D3D09">
            <w:pPr>
              <w:rPr>
                <w:sz w:val="22"/>
                <w:szCs w:val="22"/>
              </w:rPr>
            </w:pPr>
            <w:r w:rsidRPr="00E02758">
              <w:rPr>
                <w:sz w:val="22"/>
                <w:szCs w:val="22"/>
              </w:rPr>
              <w:t xml:space="preserve">VRS provides W-2s to retirees under the Virginia Retirement </w:t>
            </w:r>
            <w:r w:rsidR="00451980" w:rsidRPr="00E02758">
              <w:rPr>
                <w:sz w:val="22"/>
                <w:szCs w:val="22"/>
              </w:rPr>
              <w:t>System but</w:t>
            </w:r>
            <w:r w:rsidRPr="00E02758">
              <w:rPr>
                <w:sz w:val="22"/>
                <w:szCs w:val="22"/>
              </w:rPr>
              <w:t xml:space="preserve"> does not provide W-2s to employees who elected to participate in one of the Optional Retirement Plans (ORP)</w:t>
            </w:r>
            <w:r w:rsidR="000F7059" w:rsidRPr="00E02758">
              <w:rPr>
                <w:sz w:val="22"/>
                <w:szCs w:val="22"/>
              </w:rPr>
              <w:t>. T</w:t>
            </w:r>
            <w:r w:rsidRPr="00E02758">
              <w:rPr>
                <w:sz w:val="22"/>
                <w:szCs w:val="22"/>
              </w:rPr>
              <w:t xml:space="preserve">herefore, agencies with ORP participants who terminated in </w:t>
            </w:r>
            <w:r w:rsidR="00DB6731">
              <w:rPr>
                <w:sz w:val="22"/>
                <w:szCs w:val="22"/>
              </w:rPr>
              <w:t>2024</w:t>
            </w:r>
            <w:r w:rsidRPr="00E02758">
              <w:rPr>
                <w:sz w:val="22"/>
                <w:szCs w:val="22"/>
              </w:rPr>
              <w:t xml:space="preserve"> or before and meet the criteria outlined below, must report the amount of imputed income to DOA for inclusion on W-2s for </w:t>
            </w:r>
            <w:r w:rsidR="00DB6731">
              <w:rPr>
                <w:sz w:val="22"/>
                <w:szCs w:val="22"/>
              </w:rPr>
              <w:t>2024</w:t>
            </w:r>
            <w:r w:rsidRPr="00E02758">
              <w:rPr>
                <w:sz w:val="22"/>
                <w:szCs w:val="22"/>
              </w:rPr>
              <w:t xml:space="preserve">.  For ORP participants who terminated in </w:t>
            </w:r>
            <w:r w:rsidR="00DB6731">
              <w:rPr>
                <w:sz w:val="22"/>
                <w:szCs w:val="22"/>
              </w:rPr>
              <w:t>2024</w:t>
            </w:r>
            <w:r w:rsidRPr="00E02758">
              <w:rPr>
                <w:sz w:val="22"/>
                <w:szCs w:val="22"/>
              </w:rPr>
              <w:t xml:space="preserve">, the amount of the imputed income for the </w:t>
            </w:r>
            <w:r w:rsidRPr="0010193A">
              <w:rPr>
                <w:b/>
                <w:bCs/>
                <w:sz w:val="22"/>
                <w:szCs w:val="22"/>
              </w:rPr>
              <w:t>months following date of termination</w:t>
            </w:r>
            <w:r w:rsidRPr="00E02758">
              <w:rPr>
                <w:sz w:val="22"/>
                <w:szCs w:val="22"/>
              </w:rPr>
              <w:t xml:space="preserve"> must be included in taxable income.  The uncollected social security and Medicare taxes on the imputed income will be reported separately in Box 12 on Form W-2 using codes M and N.  The former employee must pay the employee’s uncollected share of Social Security and Medicare taxes with their income tax return.</w:t>
            </w:r>
          </w:p>
        </w:tc>
      </w:tr>
    </w:tbl>
    <w:p w14:paraId="4EE9ABB4" w14:textId="77777777" w:rsidR="004D35C8" w:rsidRDefault="004D35C8" w:rsidP="004D35C8">
      <w:pPr>
        <w:pStyle w:val="BlockLine"/>
        <w:ind w:left="1350"/>
        <w:rPr>
          <w:sz w:val="16"/>
          <w:szCs w:val="16"/>
        </w:rPr>
      </w:pPr>
    </w:p>
    <w:tbl>
      <w:tblPr>
        <w:tblW w:w="10908" w:type="dxa"/>
        <w:tblLayout w:type="fixed"/>
        <w:tblLook w:val="0000" w:firstRow="0" w:lastRow="0" w:firstColumn="0" w:lastColumn="0" w:noHBand="0" w:noVBand="0"/>
      </w:tblPr>
      <w:tblGrid>
        <w:gridCol w:w="1728"/>
        <w:gridCol w:w="9180"/>
      </w:tblGrid>
      <w:tr w:rsidR="004D35C8" w:rsidRPr="00A64394" w14:paraId="3E48944D" w14:textId="77777777" w:rsidTr="006C52CC">
        <w:trPr>
          <w:cantSplit/>
          <w:trHeight w:val="1485"/>
        </w:trPr>
        <w:tc>
          <w:tcPr>
            <w:tcW w:w="1728" w:type="dxa"/>
          </w:tcPr>
          <w:p w14:paraId="756CFFDD" w14:textId="77777777" w:rsidR="004D35C8" w:rsidRPr="00865E01" w:rsidRDefault="004D35C8" w:rsidP="006C52CC">
            <w:pPr>
              <w:pStyle w:val="Heading5"/>
              <w:rPr>
                <w:rFonts w:ascii="Times New Roman Bold" w:hAnsi="Times New Roman Bold"/>
                <w:bCs/>
                <w:szCs w:val="22"/>
              </w:rPr>
            </w:pPr>
            <w:r w:rsidRPr="00865E01">
              <w:rPr>
                <w:rFonts w:ascii="Times New Roman Bold" w:hAnsi="Times New Roman Bold"/>
                <w:szCs w:val="22"/>
              </w:rPr>
              <w:t>Eligibility for Continued GTL Coverage</w:t>
            </w:r>
          </w:p>
        </w:tc>
        <w:tc>
          <w:tcPr>
            <w:tcW w:w="9180" w:type="dxa"/>
          </w:tcPr>
          <w:p w14:paraId="71A0BB91" w14:textId="6C483596" w:rsidR="004D35C8" w:rsidRPr="00E02758" w:rsidRDefault="004D35C8" w:rsidP="0038421C">
            <w:pPr>
              <w:autoSpaceDE w:val="0"/>
              <w:autoSpaceDN w:val="0"/>
              <w:adjustRightInd w:val="0"/>
              <w:ind w:left="-108"/>
              <w:rPr>
                <w:rFonts w:cs="TimesNewRoman"/>
                <w:sz w:val="22"/>
                <w:szCs w:val="22"/>
              </w:rPr>
            </w:pPr>
            <w:r w:rsidRPr="00E02758">
              <w:rPr>
                <w:sz w:val="22"/>
                <w:szCs w:val="22"/>
              </w:rPr>
              <w:t>Employees in ORPs must meet the same eligibility requirements as VRS-covered employees to remain covered by the Commonwealth’s’ GTL policy at separation from service</w:t>
            </w:r>
            <w:r w:rsidR="0038421C">
              <w:rPr>
                <w:sz w:val="22"/>
                <w:szCs w:val="22"/>
              </w:rPr>
              <w:t xml:space="preserve"> (</w:t>
            </w:r>
            <w:hyperlink r:id="rId9" w:history="1">
              <w:r w:rsidR="0038421C" w:rsidRPr="00512CA4">
                <w:rPr>
                  <w:rStyle w:val="Hyperlink"/>
                  <w:sz w:val="22"/>
                  <w:szCs w:val="22"/>
                </w:rPr>
                <w:t>https://employers.varetire.org/pdfs/er-manual-group-life-insurance.pdf</w:t>
              </w:r>
            </w:hyperlink>
            <w:r w:rsidR="0038421C">
              <w:rPr>
                <w:sz w:val="22"/>
                <w:szCs w:val="22"/>
              </w:rPr>
              <w:t>, p</w:t>
            </w:r>
            <w:r w:rsidRPr="00E02758">
              <w:rPr>
                <w:sz w:val="22"/>
                <w:szCs w:val="22"/>
              </w:rPr>
              <w:t xml:space="preserve">age </w:t>
            </w:r>
            <w:r w:rsidR="0038421C">
              <w:rPr>
                <w:sz w:val="22"/>
                <w:szCs w:val="22"/>
              </w:rPr>
              <w:t>9</w:t>
            </w:r>
            <w:r w:rsidRPr="00E02758">
              <w:rPr>
                <w:sz w:val="22"/>
                <w:szCs w:val="22"/>
              </w:rPr>
              <w:t xml:space="preserve">).  VRS service credits the employee may have in addition to the employee’s ORP service credits count towards meeting the age/service requirements.  </w:t>
            </w:r>
            <w:r w:rsidR="00E71BD8" w:rsidRPr="00E02758">
              <w:rPr>
                <w:sz w:val="22"/>
                <w:szCs w:val="22"/>
              </w:rPr>
              <w:t>In accordance with the VRS policy change</w:t>
            </w:r>
            <w:r w:rsidR="006F2520" w:rsidRPr="00E02758">
              <w:rPr>
                <w:sz w:val="22"/>
                <w:szCs w:val="22"/>
              </w:rPr>
              <w:t>s</w:t>
            </w:r>
            <w:r w:rsidR="00E71BD8" w:rsidRPr="00E02758">
              <w:rPr>
                <w:sz w:val="22"/>
                <w:szCs w:val="22"/>
              </w:rPr>
              <w:t xml:space="preserve"> effective January 1, 2017, terminated ORP participants are no longer required to maintain a plan account balance to qualify for group life insurance benefits.  ORP participants must meet the age and service requirements for reduced or unreduced retirement under the VRS plan for which the employee would have been eligible, based on hire date, had the employee not elected ORP. </w:t>
            </w:r>
            <w:r w:rsidR="006F2520" w:rsidRPr="00E02758">
              <w:rPr>
                <w:sz w:val="22"/>
                <w:szCs w:val="22"/>
              </w:rPr>
              <w:t>Employers should review their list of group life insurance imputed income tax eligible retirees in the VRS Navigator to determine if any of their participants are deceased</w:t>
            </w:r>
            <w:r w:rsidR="006F2520" w:rsidRPr="00A94CCF">
              <w:rPr>
                <w:sz w:val="22"/>
                <w:szCs w:val="22"/>
              </w:rPr>
              <w:t xml:space="preserve">.  </w:t>
            </w:r>
            <w:r w:rsidRPr="00A94CCF">
              <w:rPr>
                <w:sz w:val="22"/>
                <w:szCs w:val="22"/>
              </w:rPr>
              <w:t>Employers will receive an email from VRS outlining the procedures</w:t>
            </w:r>
            <w:r w:rsidR="005E6F77" w:rsidRPr="00A94CCF">
              <w:rPr>
                <w:sz w:val="22"/>
                <w:szCs w:val="22"/>
              </w:rPr>
              <w:t xml:space="preserve"> to request reporting in </w:t>
            </w:r>
            <w:proofErr w:type="spellStart"/>
            <w:r w:rsidR="005E6F77" w:rsidRPr="00A94CCF">
              <w:rPr>
                <w:sz w:val="22"/>
                <w:szCs w:val="22"/>
              </w:rPr>
              <w:t>myVRS</w:t>
            </w:r>
            <w:proofErr w:type="spellEnd"/>
            <w:r w:rsidR="005E6F77" w:rsidRPr="00A94CCF">
              <w:rPr>
                <w:sz w:val="22"/>
                <w:szCs w:val="22"/>
              </w:rPr>
              <w:t xml:space="preserve"> Navigator to assist in validating your terminated ORP participants</w:t>
            </w:r>
            <w:r w:rsidRPr="00A94CCF">
              <w:rPr>
                <w:sz w:val="22"/>
                <w:szCs w:val="22"/>
              </w:rPr>
              <w:t>. If your agency d</w:t>
            </w:r>
            <w:r w:rsidR="00727661">
              <w:rPr>
                <w:sz w:val="22"/>
                <w:szCs w:val="22"/>
              </w:rPr>
              <w:t>oes</w:t>
            </w:r>
            <w:r w:rsidRPr="00A94CCF">
              <w:rPr>
                <w:sz w:val="22"/>
                <w:szCs w:val="22"/>
              </w:rPr>
              <w:t xml:space="preserve"> not receive a communication from VRS related to this subject, please contact </w:t>
            </w:r>
            <w:hyperlink r:id="rId10" w:history="1">
              <w:r w:rsidR="0038421C" w:rsidRPr="00512CA4">
                <w:rPr>
                  <w:rStyle w:val="Hyperlink"/>
                  <w:sz w:val="22"/>
                  <w:szCs w:val="22"/>
                </w:rPr>
                <w:t>ORPHE@varetire.org</w:t>
              </w:r>
            </w:hyperlink>
            <w:r w:rsidR="00E71BD8" w:rsidRPr="00A94CCF">
              <w:rPr>
                <w:sz w:val="22"/>
                <w:szCs w:val="22"/>
              </w:rPr>
              <w:t>.</w:t>
            </w:r>
          </w:p>
        </w:tc>
      </w:tr>
    </w:tbl>
    <w:p w14:paraId="016E13BC" w14:textId="77777777" w:rsidR="00C749EA" w:rsidRDefault="00C749EA" w:rsidP="00C749EA">
      <w:pPr>
        <w:pStyle w:val="BlockLine"/>
        <w:ind w:left="1350"/>
        <w:rPr>
          <w:sz w:val="16"/>
          <w:szCs w:val="16"/>
        </w:rPr>
      </w:pPr>
    </w:p>
    <w:p w14:paraId="28A0E3AC" w14:textId="77777777" w:rsidR="00D82FB8" w:rsidRDefault="00D82FB8">
      <w:pPr>
        <w:rPr>
          <w:b/>
          <w:bCs/>
          <w:sz w:val="28"/>
          <w:szCs w:val="28"/>
        </w:rPr>
      </w:pPr>
      <w:r>
        <w:rPr>
          <w:b/>
          <w:bCs/>
          <w:sz w:val="28"/>
          <w:szCs w:val="28"/>
        </w:rPr>
        <w:br w:type="page"/>
      </w:r>
    </w:p>
    <w:p w14:paraId="76F7CAE4" w14:textId="47BB5454" w:rsidR="0047322A" w:rsidRPr="006B1E7E" w:rsidRDefault="00DB6731" w:rsidP="0047322A">
      <w:pPr>
        <w:rPr>
          <w:szCs w:val="24"/>
        </w:rPr>
      </w:pPr>
      <w:r>
        <w:rPr>
          <w:b/>
          <w:bCs/>
          <w:sz w:val="28"/>
          <w:szCs w:val="28"/>
        </w:rPr>
        <w:lastRenderedPageBreak/>
        <w:t>2024</w:t>
      </w:r>
      <w:r w:rsidR="0047322A" w:rsidRPr="00AC4E5F">
        <w:rPr>
          <w:b/>
          <w:bCs/>
          <w:sz w:val="28"/>
          <w:szCs w:val="28"/>
        </w:rPr>
        <w:t xml:space="preserve"> </w:t>
      </w:r>
      <w:r w:rsidR="0047322A">
        <w:rPr>
          <w:b/>
          <w:bCs/>
          <w:sz w:val="28"/>
          <w:szCs w:val="28"/>
        </w:rPr>
        <w:t>Imputed Income for ORP Participants Eligible for Continued Grp Life</w:t>
      </w:r>
      <w:r w:rsidR="0047322A">
        <w:rPr>
          <w:b/>
          <w:bCs/>
          <w:sz w:val="32"/>
          <w:szCs w:val="32"/>
        </w:rPr>
        <w:t xml:space="preserve">, </w:t>
      </w:r>
      <w:r w:rsidR="0047322A" w:rsidRPr="006B1E7E">
        <w:rPr>
          <w:bCs/>
          <w:i/>
          <w:szCs w:val="24"/>
        </w:rPr>
        <w:t>continued</w:t>
      </w:r>
    </w:p>
    <w:p w14:paraId="1B2F847E" w14:textId="77777777" w:rsidR="0047322A" w:rsidRDefault="0047322A" w:rsidP="0047322A">
      <w:pPr>
        <w:pStyle w:val="BlockLine"/>
        <w:ind w:left="1350"/>
        <w:rPr>
          <w:sz w:val="16"/>
          <w:szCs w:val="16"/>
        </w:rPr>
      </w:pPr>
    </w:p>
    <w:tbl>
      <w:tblPr>
        <w:tblW w:w="10908" w:type="dxa"/>
        <w:tblLayout w:type="fixed"/>
        <w:tblLook w:val="0000" w:firstRow="0" w:lastRow="0" w:firstColumn="0" w:lastColumn="0" w:noHBand="0" w:noVBand="0"/>
      </w:tblPr>
      <w:tblGrid>
        <w:gridCol w:w="1728"/>
        <w:gridCol w:w="9180"/>
      </w:tblGrid>
      <w:tr w:rsidR="00C749EA" w:rsidRPr="003C662B" w14:paraId="25F18DC5" w14:textId="77777777" w:rsidTr="006E62CA">
        <w:trPr>
          <w:cantSplit/>
          <w:trHeight w:val="1485"/>
        </w:trPr>
        <w:tc>
          <w:tcPr>
            <w:tcW w:w="1728" w:type="dxa"/>
          </w:tcPr>
          <w:p w14:paraId="08FA97F0" w14:textId="77777777" w:rsidR="00C749EA" w:rsidRPr="0097484C" w:rsidRDefault="00C749EA" w:rsidP="006E62CA">
            <w:pPr>
              <w:pStyle w:val="Heading5"/>
              <w:rPr>
                <w:rFonts w:ascii="Times New Roman Bold" w:hAnsi="Times New Roman Bold"/>
                <w:bCs/>
                <w:szCs w:val="22"/>
              </w:rPr>
            </w:pPr>
            <w:r w:rsidRPr="0097484C">
              <w:rPr>
                <w:rFonts w:ascii="Times New Roman Bold" w:hAnsi="Times New Roman Bold"/>
                <w:bCs/>
                <w:szCs w:val="22"/>
              </w:rPr>
              <w:t>Reporting Criteria</w:t>
            </w:r>
          </w:p>
        </w:tc>
        <w:tc>
          <w:tcPr>
            <w:tcW w:w="9180" w:type="dxa"/>
          </w:tcPr>
          <w:p w14:paraId="10A39494" w14:textId="77777777" w:rsidR="00C749EA" w:rsidRPr="0077266C" w:rsidRDefault="00C749EA" w:rsidP="006E62CA">
            <w:pPr>
              <w:ind w:left="-18"/>
              <w:rPr>
                <w:sz w:val="22"/>
                <w:szCs w:val="22"/>
              </w:rPr>
            </w:pPr>
            <w:r w:rsidRPr="0077266C">
              <w:rPr>
                <w:sz w:val="22"/>
                <w:szCs w:val="22"/>
              </w:rPr>
              <w:t>The following criteria should be used to determine which employees are impacted:</w:t>
            </w:r>
          </w:p>
          <w:p w14:paraId="6E87A2B1" w14:textId="77777777" w:rsidR="00C749EA" w:rsidRPr="0077266C" w:rsidRDefault="00C749EA" w:rsidP="006E62CA">
            <w:pPr>
              <w:numPr>
                <w:ilvl w:val="0"/>
                <w:numId w:val="3"/>
              </w:numPr>
              <w:ind w:left="1062"/>
              <w:rPr>
                <w:sz w:val="22"/>
                <w:szCs w:val="22"/>
              </w:rPr>
            </w:pPr>
            <w:r w:rsidRPr="0077266C">
              <w:rPr>
                <w:sz w:val="22"/>
                <w:szCs w:val="22"/>
              </w:rPr>
              <w:t xml:space="preserve">Employee elected to participate in one of the optional </w:t>
            </w:r>
            <w:proofErr w:type="gramStart"/>
            <w:r w:rsidRPr="0077266C">
              <w:rPr>
                <w:sz w:val="22"/>
                <w:szCs w:val="22"/>
              </w:rPr>
              <w:t>retirement</w:t>
            </w:r>
            <w:proofErr w:type="gramEnd"/>
            <w:r w:rsidRPr="0077266C">
              <w:rPr>
                <w:sz w:val="22"/>
                <w:szCs w:val="22"/>
              </w:rPr>
              <w:t xml:space="preserve"> plans instead of VRS, and </w:t>
            </w:r>
          </w:p>
          <w:p w14:paraId="64795197" w14:textId="77777777" w:rsidR="00C749EA" w:rsidRPr="0077266C" w:rsidRDefault="00C749EA" w:rsidP="006E62CA">
            <w:pPr>
              <w:numPr>
                <w:ilvl w:val="0"/>
                <w:numId w:val="3"/>
              </w:numPr>
              <w:ind w:left="1062"/>
              <w:rPr>
                <w:sz w:val="22"/>
                <w:szCs w:val="22"/>
              </w:rPr>
            </w:pPr>
            <w:r w:rsidRPr="0077266C">
              <w:rPr>
                <w:sz w:val="22"/>
                <w:szCs w:val="22"/>
              </w:rPr>
              <w:t xml:space="preserve">Employee is eligible for continued coverage under Group Life Insurance (at least 50 with 10 years of service or 55 with 5 years of service under Plan 1 and at least 60 with 5 years of service under Plan 2), and </w:t>
            </w:r>
          </w:p>
          <w:p w14:paraId="1D3C0046" w14:textId="77777777" w:rsidR="00C749EA" w:rsidRPr="0077266C" w:rsidRDefault="00C749EA" w:rsidP="006E62CA">
            <w:pPr>
              <w:numPr>
                <w:ilvl w:val="0"/>
                <w:numId w:val="3"/>
              </w:numPr>
              <w:ind w:left="1062"/>
              <w:rPr>
                <w:sz w:val="22"/>
                <w:szCs w:val="22"/>
              </w:rPr>
            </w:pPr>
            <w:r w:rsidRPr="0077266C">
              <w:rPr>
                <w:sz w:val="22"/>
                <w:szCs w:val="22"/>
              </w:rPr>
              <w:t xml:space="preserve">Employee’s final annual salary is greater than $25,000, and </w:t>
            </w:r>
          </w:p>
          <w:p w14:paraId="21E33EEB" w14:textId="035C2C64" w:rsidR="00C749EA" w:rsidRPr="00A64394" w:rsidRDefault="00C749EA" w:rsidP="009D3D09">
            <w:pPr>
              <w:numPr>
                <w:ilvl w:val="0"/>
                <w:numId w:val="3"/>
              </w:numPr>
              <w:ind w:left="1062"/>
              <w:rPr>
                <w:sz w:val="22"/>
                <w:szCs w:val="22"/>
              </w:rPr>
            </w:pPr>
            <w:r w:rsidRPr="0077266C">
              <w:rPr>
                <w:sz w:val="22"/>
                <w:szCs w:val="22"/>
              </w:rPr>
              <w:t xml:space="preserve">Employee terminated or retired during </w:t>
            </w:r>
            <w:r w:rsidR="00DB6731">
              <w:rPr>
                <w:sz w:val="22"/>
                <w:szCs w:val="22"/>
              </w:rPr>
              <w:t>2024</w:t>
            </w:r>
            <w:r w:rsidRPr="0077266C">
              <w:rPr>
                <w:sz w:val="22"/>
                <w:szCs w:val="22"/>
              </w:rPr>
              <w:t xml:space="preserve"> or earlier.</w:t>
            </w:r>
          </w:p>
        </w:tc>
      </w:tr>
    </w:tbl>
    <w:p w14:paraId="3ED89496" w14:textId="77777777" w:rsidR="004D35C8" w:rsidRDefault="004D35C8" w:rsidP="004D35C8">
      <w:pPr>
        <w:pStyle w:val="BlockLine"/>
        <w:ind w:left="1350"/>
        <w:rPr>
          <w:sz w:val="16"/>
          <w:szCs w:val="16"/>
        </w:rPr>
      </w:pPr>
    </w:p>
    <w:tbl>
      <w:tblPr>
        <w:tblW w:w="10908" w:type="dxa"/>
        <w:tblLayout w:type="fixed"/>
        <w:tblLook w:val="0000" w:firstRow="0" w:lastRow="0" w:firstColumn="0" w:lastColumn="0" w:noHBand="0" w:noVBand="0"/>
      </w:tblPr>
      <w:tblGrid>
        <w:gridCol w:w="1728"/>
        <w:gridCol w:w="9180"/>
      </w:tblGrid>
      <w:tr w:rsidR="004D35C8" w:rsidRPr="003C662B" w14:paraId="35063F1D" w14:textId="77777777" w:rsidTr="006C52CC">
        <w:trPr>
          <w:cantSplit/>
          <w:trHeight w:val="1485"/>
        </w:trPr>
        <w:tc>
          <w:tcPr>
            <w:tcW w:w="1728" w:type="dxa"/>
          </w:tcPr>
          <w:p w14:paraId="15C9060D" w14:textId="77777777" w:rsidR="004D35C8" w:rsidRPr="0097484C" w:rsidRDefault="004D35C8" w:rsidP="006C52CC">
            <w:pPr>
              <w:pStyle w:val="Heading5"/>
              <w:rPr>
                <w:rFonts w:ascii="Times New Roman Bold" w:hAnsi="Times New Roman Bold"/>
                <w:bCs/>
                <w:szCs w:val="22"/>
              </w:rPr>
            </w:pPr>
            <w:r w:rsidRPr="0097484C">
              <w:rPr>
                <w:rFonts w:ascii="Times New Roman Bold" w:hAnsi="Times New Roman Bold"/>
                <w:bCs/>
                <w:szCs w:val="22"/>
              </w:rPr>
              <w:t>Amount of Insurance Coverage</w:t>
            </w:r>
          </w:p>
        </w:tc>
        <w:tc>
          <w:tcPr>
            <w:tcW w:w="9180" w:type="dxa"/>
          </w:tcPr>
          <w:p w14:paraId="5BF9E61B" w14:textId="77777777" w:rsidR="004D35C8" w:rsidRPr="0077266C" w:rsidRDefault="004D35C8" w:rsidP="006C52CC">
            <w:pPr>
              <w:ind w:left="-108"/>
              <w:rPr>
                <w:sz w:val="22"/>
                <w:szCs w:val="22"/>
              </w:rPr>
            </w:pPr>
            <w:r w:rsidRPr="0077266C">
              <w:rPr>
                <w:sz w:val="22"/>
                <w:szCs w:val="22"/>
              </w:rPr>
              <w:t>At the time the employee retires or terminates, the amount of life insurance coverage provided is twice the amount of the employee’s final salary.  The following reductions take place as indicated:</w:t>
            </w:r>
          </w:p>
          <w:p w14:paraId="1CFD7B4B" w14:textId="77777777" w:rsidR="004D35C8" w:rsidRPr="00E15F56" w:rsidRDefault="004D35C8" w:rsidP="006C52CC">
            <w:pPr>
              <w:ind w:left="-108"/>
              <w:rPr>
                <w:sz w:val="16"/>
                <w:szCs w:val="16"/>
              </w:rPr>
            </w:pPr>
          </w:p>
          <w:tbl>
            <w:tblPr>
              <w:tblW w:w="6438" w:type="dxa"/>
              <w:jc w:val="center"/>
              <w:tblLayout w:type="fixed"/>
              <w:tblLook w:val="0000" w:firstRow="0" w:lastRow="0" w:firstColumn="0" w:lastColumn="0" w:noHBand="0" w:noVBand="0"/>
            </w:tblPr>
            <w:tblGrid>
              <w:gridCol w:w="6438"/>
            </w:tblGrid>
            <w:tr w:rsidR="004D35C8" w:rsidRPr="0077266C" w14:paraId="2E1E190F" w14:textId="77777777" w:rsidTr="00CD2004">
              <w:trPr>
                <w:trHeight w:val="255"/>
                <w:jc w:val="center"/>
              </w:trPr>
              <w:tc>
                <w:tcPr>
                  <w:tcW w:w="6438" w:type="dxa"/>
                  <w:tcBorders>
                    <w:top w:val="nil"/>
                    <w:left w:val="nil"/>
                    <w:bottom w:val="nil"/>
                    <w:right w:val="nil"/>
                  </w:tcBorders>
                  <w:shd w:val="clear" w:color="auto" w:fill="auto"/>
                  <w:noWrap/>
                  <w:vAlign w:val="center"/>
                </w:tcPr>
                <w:p w14:paraId="436FABC9" w14:textId="77777777" w:rsidR="004D35C8" w:rsidRPr="0077266C" w:rsidRDefault="004D35C8" w:rsidP="006C52CC">
                  <w:pPr>
                    <w:rPr>
                      <w:rFonts w:cs="Arial"/>
                      <w:sz w:val="22"/>
                      <w:szCs w:val="22"/>
                    </w:rPr>
                  </w:pPr>
                  <w:r w:rsidRPr="0077266C">
                    <w:rPr>
                      <w:rFonts w:cs="Arial"/>
                      <w:sz w:val="22"/>
                      <w:szCs w:val="22"/>
                    </w:rPr>
                    <w:t xml:space="preserve">25% reduction on January 1st after 12 months from separating service </w:t>
                  </w:r>
                </w:p>
              </w:tc>
            </w:tr>
            <w:tr w:rsidR="004D35C8" w:rsidRPr="0077266C" w14:paraId="409D52DC" w14:textId="77777777" w:rsidTr="00CD2004">
              <w:trPr>
                <w:trHeight w:val="255"/>
                <w:jc w:val="center"/>
              </w:trPr>
              <w:tc>
                <w:tcPr>
                  <w:tcW w:w="6438" w:type="dxa"/>
                  <w:tcBorders>
                    <w:top w:val="nil"/>
                    <w:left w:val="nil"/>
                    <w:bottom w:val="nil"/>
                    <w:right w:val="nil"/>
                  </w:tcBorders>
                  <w:shd w:val="clear" w:color="auto" w:fill="auto"/>
                  <w:noWrap/>
                  <w:vAlign w:val="center"/>
                </w:tcPr>
                <w:p w14:paraId="53B42286" w14:textId="77777777" w:rsidR="004D35C8" w:rsidRPr="0077266C" w:rsidRDefault="004D35C8" w:rsidP="006C52CC">
                  <w:pPr>
                    <w:rPr>
                      <w:rFonts w:cs="Arial"/>
                      <w:sz w:val="22"/>
                      <w:szCs w:val="22"/>
                    </w:rPr>
                  </w:pPr>
                  <w:r w:rsidRPr="0077266C">
                    <w:rPr>
                      <w:rFonts w:cs="Arial"/>
                      <w:sz w:val="22"/>
                      <w:szCs w:val="22"/>
                    </w:rPr>
                    <w:t>25% reduction every January 1st thereafter</w:t>
                  </w:r>
                </w:p>
              </w:tc>
            </w:tr>
            <w:tr w:rsidR="004D35C8" w:rsidRPr="0077266C" w14:paraId="560CC336" w14:textId="77777777" w:rsidTr="00CD2004">
              <w:trPr>
                <w:trHeight w:val="255"/>
                <w:jc w:val="center"/>
              </w:trPr>
              <w:tc>
                <w:tcPr>
                  <w:tcW w:w="6438" w:type="dxa"/>
                  <w:tcBorders>
                    <w:top w:val="nil"/>
                    <w:left w:val="nil"/>
                    <w:bottom w:val="nil"/>
                    <w:right w:val="nil"/>
                  </w:tcBorders>
                  <w:shd w:val="clear" w:color="auto" w:fill="auto"/>
                  <w:noWrap/>
                  <w:vAlign w:val="center"/>
                </w:tcPr>
                <w:p w14:paraId="6E809624" w14:textId="77777777" w:rsidR="004D35C8" w:rsidRPr="0077266C" w:rsidRDefault="004D35C8" w:rsidP="006C52CC">
                  <w:pPr>
                    <w:rPr>
                      <w:rFonts w:cs="Arial"/>
                      <w:sz w:val="22"/>
                      <w:szCs w:val="22"/>
                    </w:rPr>
                  </w:pPr>
                  <w:r w:rsidRPr="0077266C">
                    <w:rPr>
                      <w:rFonts w:cs="Arial"/>
                      <w:sz w:val="22"/>
                      <w:szCs w:val="22"/>
                    </w:rPr>
                    <w:t>Final 25% reduction January 1st to fully reduced amount equal to 50% of final salary at time of retirement</w:t>
                  </w:r>
                </w:p>
              </w:tc>
            </w:tr>
          </w:tbl>
          <w:p w14:paraId="42A9CA41" w14:textId="77777777" w:rsidR="004D35C8" w:rsidRPr="00E15F56" w:rsidRDefault="004D35C8" w:rsidP="006C52CC">
            <w:pPr>
              <w:ind w:left="-108"/>
              <w:rPr>
                <w:sz w:val="16"/>
                <w:szCs w:val="16"/>
              </w:rPr>
            </w:pPr>
          </w:p>
          <w:p w14:paraId="06C0FF13" w14:textId="15E63A4D" w:rsidR="004D35C8" w:rsidRPr="00A64394" w:rsidRDefault="004D35C8" w:rsidP="009D3D09">
            <w:pPr>
              <w:ind w:left="-108"/>
              <w:rPr>
                <w:sz w:val="22"/>
                <w:szCs w:val="22"/>
              </w:rPr>
            </w:pPr>
            <w:r w:rsidRPr="0077266C">
              <w:rPr>
                <w:sz w:val="22"/>
                <w:szCs w:val="22"/>
              </w:rPr>
              <w:t xml:space="preserve">Example:  At the time Tom retired in May </w:t>
            </w:r>
            <w:r w:rsidR="00DB6731">
              <w:rPr>
                <w:sz w:val="22"/>
                <w:szCs w:val="22"/>
              </w:rPr>
              <w:t>2024</w:t>
            </w:r>
            <w:r w:rsidRPr="0077266C">
              <w:rPr>
                <w:sz w:val="22"/>
                <w:szCs w:val="22"/>
              </w:rPr>
              <w:t xml:space="preserve"> his final annual salary was $75,000.  He meets the criteria required for continued GTL insurance coverage and the coverage amount is $150,000 ($75,000 * 2).  In January 20</w:t>
            </w:r>
            <w:r w:rsidR="006249C5" w:rsidRPr="0077266C">
              <w:rPr>
                <w:sz w:val="22"/>
                <w:szCs w:val="22"/>
              </w:rPr>
              <w:t>2</w:t>
            </w:r>
            <w:r w:rsidR="005E5112">
              <w:rPr>
                <w:sz w:val="22"/>
                <w:szCs w:val="22"/>
              </w:rPr>
              <w:t>5</w:t>
            </w:r>
            <w:r w:rsidRPr="0077266C">
              <w:rPr>
                <w:sz w:val="22"/>
                <w:szCs w:val="22"/>
              </w:rPr>
              <w:t xml:space="preserve"> the amount of his life insurance coverage will be reduced to $112,500 ($150,000 * .75).   In January 20</w:t>
            </w:r>
            <w:r w:rsidR="00241CC5" w:rsidRPr="0077266C">
              <w:rPr>
                <w:sz w:val="22"/>
                <w:szCs w:val="22"/>
              </w:rPr>
              <w:t>2</w:t>
            </w:r>
            <w:r w:rsidR="005E5112">
              <w:rPr>
                <w:sz w:val="22"/>
                <w:szCs w:val="22"/>
              </w:rPr>
              <w:t>6</w:t>
            </w:r>
            <w:r w:rsidRPr="0077266C">
              <w:rPr>
                <w:sz w:val="22"/>
                <w:szCs w:val="22"/>
              </w:rPr>
              <w:t xml:space="preserve"> the amount of coverage will be reduced to $75,000 ($150,000 *.5).  In January 20</w:t>
            </w:r>
            <w:r w:rsidR="0047065E" w:rsidRPr="0077266C">
              <w:rPr>
                <w:sz w:val="22"/>
                <w:szCs w:val="22"/>
              </w:rPr>
              <w:t>2</w:t>
            </w:r>
            <w:r w:rsidR="005E5112">
              <w:rPr>
                <w:sz w:val="22"/>
                <w:szCs w:val="22"/>
              </w:rPr>
              <w:t>7</w:t>
            </w:r>
            <w:r w:rsidRPr="0077266C">
              <w:rPr>
                <w:sz w:val="22"/>
                <w:szCs w:val="22"/>
              </w:rPr>
              <w:t xml:space="preserve"> the amount of coverage will be reduced for the last time to $37,500 ($150,000 * .25) which is equal to 50% of his original final salary.</w:t>
            </w:r>
            <w:r w:rsidRPr="00891123">
              <w:rPr>
                <w:szCs w:val="24"/>
              </w:rPr>
              <w:t xml:space="preserve">  </w:t>
            </w:r>
          </w:p>
        </w:tc>
      </w:tr>
    </w:tbl>
    <w:p w14:paraId="4BB012C0" w14:textId="77777777" w:rsidR="004D35C8" w:rsidRDefault="004D35C8" w:rsidP="004D35C8">
      <w:pPr>
        <w:pStyle w:val="BlockLine"/>
        <w:ind w:left="1350"/>
        <w:rPr>
          <w:sz w:val="16"/>
          <w:szCs w:val="16"/>
        </w:rPr>
      </w:pPr>
    </w:p>
    <w:tbl>
      <w:tblPr>
        <w:tblW w:w="10908" w:type="dxa"/>
        <w:tblLook w:val="01E0" w:firstRow="1" w:lastRow="1" w:firstColumn="1" w:lastColumn="1" w:noHBand="0" w:noVBand="0"/>
      </w:tblPr>
      <w:tblGrid>
        <w:gridCol w:w="1728"/>
        <w:gridCol w:w="9180"/>
      </w:tblGrid>
      <w:tr w:rsidR="004D35C8" w:rsidRPr="00BA32B3" w14:paraId="4E3E0764" w14:textId="77777777" w:rsidTr="006C52CC">
        <w:tc>
          <w:tcPr>
            <w:tcW w:w="1728" w:type="dxa"/>
          </w:tcPr>
          <w:p w14:paraId="3CCC3A13" w14:textId="77777777" w:rsidR="004D35C8" w:rsidRPr="00BA32B3" w:rsidRDefault="004D35C8" w:rsidP="006C52CC">
            <w:pPr>
              <w:rPr>
                <w:rFonts w:ascii="Times New Roman Bold" w:hAnsi="Times New Roman Bold"/>
                <w:b/>
                <w:bCs/>
                <w:szCs w:val="24"/>
              </w:rPr>
            </w:pPr>
            <w:r w:rsidRPr="00BA32B3">
              <w:rPr>
                <w:rFonts w:ascii="Times New Roman Bold" w:hAnsi="Times New Roman Bold"/>
                <w:b/>
                <w:bCs/>
                <w:szCs w:val="24"/>
              </w:rPr>
              <w:t>Calculate Amount of Imputed Life</w:t>
            </w:r>
          </w:p>
        </w:tc>
        <w:tc>
          <w:tcPr>
            <w:tcW w:w="9180" w:type="dxa"/>
          </w:tcPr>
          <w:p w14:paraId="01DCBB14" w14:textId="05442866" w:rsidR="004D35C8" w:rsidRPr="0077266C" w:rsidRDefault="00976F40" w:rsidP="006C52CC">
            <w:pPr>
              <w:ind w:left="-108"/>
              <w:rPr>
                <w:rFonts w:cs="Arial"/>
                <w:color w:val="000000"/>
                <w:sz w:val="22"/>
                <w:szCs w:val="22"/>
              </w:rPr>
            </w:pPr>
            <w:r>
              <w:rPr>
                <w:rFonts w:cs="Arial"/>
                <w:color w:val="000000"/>
                <w:sz w:val="22"/>
                <w:szCs w:val="22"/>
              </w:rPr>
              <w:t>Calculate</w:t>
            </w:r>
            <w:r w:rsidR="004D35C8" w:rsidRPr="0077266C">
              <w:rPr>
                <w:rFonts w:cs="Arial"/>
                <w:color w:val="000000"/>
                <w:sz w:val="22"/>
                <w:szCs w:val="22"/>
              </w:rPr>
              <w:t xml:space="preserve"> the monthly cost of the insurance to include in the retired employee's wages by multiplying the number of thousands of dollars of insurance coverage over $50,000 (figured to the nearest $1,000) by the cost shown in the table below. Use the employee's age on the </w:t>
            </w:r>
            <w:r w:rsidR="004D35C8" w:rsidRPr="0077266C">
              <w:rPr>
                <w:rFonts w:cs="Arial"/>
                <w:color w:val="000000"/>
                <w:sz w:val="22"/>
                <w:szCs w:val="22"/>
                <w:u w:val="single"/>
              </w:rPr>
              <w:t>last day of the tax year</w:t>
            </w:r>
            <w:r w:rsidR="004D35C8" w:rsidRPr="0077266C">
              <w:rPr>
                <w:rFonts w:cs="Arial"/>
                <w:color w:val="000000"/>
                <w:sz w:val="22"/>
                <w:szCs w:val="22"/>
              </w:rPr>
              <w:t xml:space="preserve">.  </w:t>
            </w:r>
            <w:r>
              <w:rPr>
                <w:rFonts w:cs="Arial"/>
                <w:color w:val="000000"/>
                <w:sz w:val="22"/>
                <w:szCs w:val="22"/>
              </w:rPr>
              <w:t>Calculate</w:t>
            </w:r>
            <w:r w:rsidR="004D35C8" w:rsidRPr="0077266C">
              <w:rPr>
                <w:rFonts w:cs="Arial"/>
                <w:color w:val="000000"/>
                <w:sz w:val="22"/>
                <w:szCs w:val="22"/>
              </w:rPr>
              <w:t xml:space="preserve"> the total cost to include in the employee's wages by multiplying the monthly cost by the number of full months' coverage at that cost.</w:t>
            </w:r>
          </w:p>
          <w:p w14:paraId="0C01AF62" w14:textId="77777777" w:rsidR="004D35C8" w:rsidRPr="00E15F56" w:rsidRDefault="004D35C8" w:rsidP="006C52CC">
            <w:pPr>
              <w:ind w:left="-108"/>
              <w:rPr>
                <w:rFonts w:cs="Arial"/>
                <w:color w:val="000000"/>
                <w:sz w:val="16"/>
                <w:szCs w:val="16"/>
              </w:rPr>
            </w:pPr>
          </w:p>
          <w:p w14:paraId="37B1F029" w14:textId="7DE9CBE8" w:rsidR="004D35C8" w:rsidRPr="0077266C" w:rsidRDefault="004D35C8" w:rsidP="006C52CC">
            <w:pPr>
              <w:ind w:left="-108"/>
              <w:rPr>
                <w:color w:val="000000"/>
                <w:sz w:val="22"/>
                <w:szCs w:val="22"/>
              </w:rPr>
            </w:pPr>
            <w:r w:rsidRPr="0077266C">
              <w:rPr>
                <w:sz w:val="22"/>
                <w:szCs w:val="22"/>
              </w:rPr>
              <w:t>A spreadsheet to calculate the amount of imputed income and applicable OASDI and HI taxes is available on our website</w:t>
            </w:r>
            <w:r w:rsidR="00AC6EBA" w:rsidRPr="0077266C">
              <w:rPr>
                <w:sz w:val="22"/>
                <w:szCs w:val="22"/>
              </w:rPr>
              <w:t xml:space="preserve"> under Payroll – Important Documents</w:t>
            </w:r>
            <w:r w:rsidRPr="0077266C">
              <w:rPr>
                <w:sz w:val="22"/>
                <w:szCs w:val="22"/>
              </w:rPr>
              <w:t xml:space="preserve">.  Use the “Post Retirement Life Insurance Calculation Worksheet for ORP Retirees” </w:t>
            </w:r>
            <w:r w:rsidR="00CC3093">
              <w:rPr>
                <w:sz w:val="22"/>
                <w:szCs w:val="22"/>
              </w:rPr>
              <w:t xml:space="preserve">(updated 11/15/2024) </w:t>
            </w:r>
            <w:r w:rsidRPr="0077266C">
              <w:rPr>
                <w:sz w:val="22"/>
                <w:szCs w:val="22"/>
              </w:rPr>
              <w:t xml:space="preserve">to calculate imputed income for calendar year </w:t>
            </w:r>
            <w:r w:rsidR="00DB6731">
              <w:rPr>
                <w:sz w:val="22"/>
                <w:szCs w:val="22"/>
              </w:rPr>
              <w:t>2024</w:t>
            </w:r>
            <w:r w:rsidRPr="0077266C">
              <w:rPr>
                <w:sz w:val="22"/>
                <w:szCs w:val="22"/>
              </w:rPr>
              <w:t xml:space="preserve">.  </w:t>
            </w:r>
            <w:r w:rsidRPr="0077266C">
              <w:rPr>
                <w:color w:val="000000"/>
                <w:sz w:val="22"/>
                <w:szCs w:val="22"/>
              </w:rPr>
              <w:t xml:space="preserve"> </w:t>
            </w:r>
          </w:p>
          <w:p w14:paraId="40573026" w14:textId="77777777" w:rsidR="004D35C8" w:rsidRPr="00E15F56" w:rsidRDefault="004D35C8" w:rsidP="006C52CC">
            <w:pPr>
              <w:ind w:left="-108"/>
              <w:rPr>
                <w:rFonts w:cs="Arial"/>
                <w:color w:val="000000"/>
                <w:sz w:val="16"/>
                <w:szCs w:val="16"/>
              </w:rPr>
            </w:pPr>
          </w:p>
          <w:p w14:paraId="6BDEF57F" w14:textId="77777777" w:rsidR="004D35C8" w:rsidRPr="0077266C" w:rsidRDefault="005D22F2" w:rsidP="006C52CC">
            <w:pPr>
              <w:ind w:left="-108"/>
              <w:rPr>
                <w:sz w:val="22"/>
                <w:szCs w:val="22"/>
              </w:rPr>
            </w:pPr>
            <w:hyperlink r:id="rId11" w:history="1">
              <w:r w:rsidR="00AC6EBA" w:rsidRPr="0077266C">
                <w:rPr>
                  <w:rStyle w:val="Hyperlink"/>
                  <w:sz w:val="22"/>
                  <w:szCs w:val="22"/>
                </w:rPr>
                <w:t>https://www.doa.virginia.gov/reference/payroll</w:t>
              </w:r>
            </w:hyperlink>
          </w:p>
          <w:p w14:paraId="637D0537" w14:textId="77777777" w:rsidR="00AC6EBA" w:rsidRPr="00E15F56" w:rsidRDefault="00AC6EBA" w:rsidP="006C52CC">
            <w:pPr>
              <w:ind w:left="-108"/>
              <w:rPr>
                <w:sz w:val="16"/>
                <w:szCs w:val="16"/>
              </w:rPr>
            </w:pPr>
          </w:p>
        </w:tc>
      </w:tr>
    </w:tbl>
    <w:p w14:paraId="3CAE5D32" w14:textId="77777777" w:rsidR="004D35C8" w:rsidRPr="00811323" w:rsidRDefault="004D35C8" w:rsidP="004D35C8">
      <w:pPr>
        <w:pStyle w:val="BlockLine"/>
        <w:ind w:left="1350"/>
        <w:jc w:val="right"/>
        <w:rPr>
          <w:i/>
          <w:sz w:val="16"/>
          <w:szCs w:val="16"/>
        </w:rPr>
      </w:pPr>
    </w:p>
    <w:tbl>
      <w:tblPr>
        <w:tblW w:w="10080" w:type="dxa"/>
        <w:tblInd w:w="108" w:type="dxa"/>
        <w:tblBorders>
          <w:insideH w:val="single" w:sz="4" w:space="0" w:color="auto"/>
        </w:tblBorders>
        <w:tblLayout w:type="fixed"/>
        <w:tblLook w:val="0000" w:firstRow="0" w:lastRow="0" w:firstColumn="0" w:lastColumn="0" w:noHBand="0" w:noVBand="0"/>
      </w:tblPr>
      <w:tblGrid>
        <w:gridCol w:w="1620"/>
        <w:gridCol w:w="8460"/>
      </w:tblGrid>
      <w:tr w:rsidR="00012558" w:rsidRPr="00FA1F8D" w14:paraId="037145EE" w14:textId="77777777" w:rsidTr="006E62CA">
        <w:trPr>
          <w:cantSplit/>
        </w:trPr>
        <w:tc>
          <w:tcPr>
            <w:tcW w:w="1620" w:type="dxa"/>
            <w:tcBorders>
              <w:top w:val="nil"/>
              <w:bottom w:val="nil"/>
            </w:tcBorders>
          </w:tcPr>
          <w:p w14:paraId="083A2727" w14:textId="77777777" w:rsidR="00012558" w:rsidRPr="007F4A3A" w:rsidRDefault="00012558" w:rsidP="006E62CA">
            <w:pPr>
              <w:shd w:val="clear" w:color="auto" w:fill="FFFFFF"/>
              <w:spacing w:before="100" w:beforeAutospacing="1" w:after="100" w:afterAutospacing="1" w:line="210" w:lineRule="atLeast"/>
              <w:rPr>
                <w:rFonts w:ascii="Times New Roman Bold" w:hAnsi="Times New Roman Bold" w:cs="Arial"/>
                <w:b/>
                <w:color w:val="000000"/>
                <w:sz w:val="22"/>
                <w:szCs w:val="22"/>
              </w:rPr>
            </w:pPr>
            <w:r w:rsidRPr="007F4A3A">
              <w:rPr>
                <w:rFonts w:ascii="Times New Roman Bold" w:hAnsi="Times New Roman Bold" w:cs="Arial"/>
                <w:b/>
                <w:bCs/>
                <w:color w:val="000000"/>
                <w:sz w:val="22"/>
                <w:szCs w:val="22"/>
              </w:rPr>
              <w:t>Cost Per $1,000 of Protection For 1 Month</w:t>
            </w:r>
          </w:p>
          <w:p w14:paraId="39FCAA6E" w14:textId="77777777" w:rsidR="00012558" w:rsidRPr="007F4A3A" w:rsidRDefault="00012558" w:rsidP="006E62CA">
            <w:pPr>
              <w:pStyle w:val="Heading5"/>
              <w:rPr>
                <w:b w:val="0"/>
                <w:szCs w:val="22"/>
              </w:rPr>
            </w:pPr>
          </w:p>
        </w:tc>
        <w:tc>
          <w:tcPr>
            <w:tcW w:w="8460" w:type="dxa"/>
          </w:tcPr>
          <w:tbl>
            <w:tblPr>
              <w:tblW w:w="5850" w:type="dxa"/>
              <w:jc w:val="center"/>
              <w:tblLayout w:type="fixed"/>
              <w:tblCellMar>
                <w:top w:w="15" w:type="dxa"/>
                <w:left w:w="15" w:type="dxa"/>
                <w:bottom w:w="15" w:type="dxa"/>
                <w:right w:w="15" w:type="dxa"/>
              </w:tblCellMar>
              <w:tblLook w:val="0000" w:firstRow="0" w:lastRow="0" w:firstColumn="0" w:lastColumn="0" w:noHBand="0" w:noVBand="0"/>
            </w:tblPr>
            <w:tblGrid>
              <w:gridCol w:w="4246"/>
              <w:gridCol w:w="1604"/>
            </w:tblGrid>
            <w:tr w:rsidR="00012558" w:rsidRPr="00512590" w14:paraId="1335A3C6" w14:textId="77777777" w:rsidTr="006E62CA">
              <w:trPr>
                <w:jc w:val="center"/>
              </w:trPr>
              <w:tc>
                <w:tcPr>
                  <w:tcW w:w="4246" w:type="dxa"/>
                  <w:tcBorders>
                    <w:bottom w:val="single" w:sz="4" w:space="0" w:color="auto"/>
                    <w:right w:val="single" w:sz="4" w:space="0" w:color="auto"/>
                  </w:tcBorders>
                  <w:vAlign w:val="center"/>
                </w:tcPr>
                <w:p w14:paraId="2D231EB2" w14:textId="77777777" w:rsidR="00012558" w:rsidRPr="008F5E78" w:rsidRDefault="00012558" w:rsidP="006E62CA">
                  <w:pPr>
                    <w:spacing w:line="210" w:lineRule="atLeast"/>
                    <w:rPr>
                      <w:rFonts w:cs="Arial"/>
                      <w:color w:val="000000"/>
                      <w:sz w:val="20"/>
                    </w:rPr>
                  </w:pPr>
                  <w:r w:rsidRPr="008F5E78">
                    <w:rPr>
                      <w:rFonts w:cs="Arial"/>
                      <w:bCs/>
                      <w:color w:val="000000"/>
                      <w:sz w:val="20"/>
                      <w:u w:val="single"/>
                    </w:rPr>
                    <w:t>Age</w:t>
                  </w:r>
                </w:p>
              </w:tc>
              <w:tc>
                <w:tcPr>
                  <w:tcW w:w="1604" w:type="dxa"/>
                  <w:tcBorders>
                    <w:bottom w:val="single" w:sz="4" w:space="0" w:color="auto"/>
                  </w:tcBorders>
                  <w:vAlign w:val="center"/>
                </w:tcPr>
                <w:p w14:paraId="375D593F" w14:textId="77777777" w:rsidR="00012558" w:rsidRPr="008F5E78" w:rsidRDefault="00012558" w:rsidP="006E62CA">
                  <w:pPr>
                    <w:spacing w:line="210" w:lineRule="atLeast"/>
                    <w:jc w:val="right"/>
                    <w:rPr>
                      <w:rFonts w:cs="Arial"/>
                      <w:color w:val="000000"/>
                      <w:sz w:val="20"/>
                    </w:rPr>
                  </w:pPr>
                  <w:r w:rsidRPr="008F5E78">
                    <w:rPr>
                      <w:rFonts w:cs="Arial"/>
                      <w:bCs/>
                      <w:color w:val="000000"/>
                      <w:sz w:val="20"/>
                      <w:u w:val="single"/>
                    </w:rPr>
                    <w:t>Cost</w:t>
                  </w:r>
                </w:p>
              </w:tc>
            </w:tr>
            <w:tr w:rsidR="00012558" w:rsidRPr="00512590" w14:paraId="2B69952F" w14:textId="77777777" w:rsidTr="006E62CA">
              <w:trPr>
                <w:jc w:val="center"/>
              </w:trPr>
              <w:tc>
                <w:tcPr>
                  <w:tcW w:w="4246" w:type="dxa"/>
                  <w:tcBorders>
                    <w:bottom w:val="single" w:sz="4" w:space="0" w:color="auto"/>
                    <w:right w:val="single" w:sz="4" w:space="0" w:color="auto"/>
                  </w:tcBorders>
                  <w:vAlign w:val="center"/>
                </w:tcPr>
                <w:p w14:paraId="0BD8AD43" w14:textId="77777777" w:rsidR="00012558" w:rsidRPr="008F5E78" w:rsidRDefault="00012558" w:rsidP="006E62CA">
                  <w:pPr>
                    <w:spacing w:line="210" w:lineRule="atLeast"/>
                    <w:rPr>
                      <w:rFonts w:cs="Arial"/>
                      <w:color w:val="000000"/>
                      <w:sz w:val="20"/>
                    </w:rPr>
                  </w:pPr>
                  <w:r w:rsidRPr="008F5E78">
                    <w:rPr>
                      <w:rFonts w:cs="Arial"/>
                      <w:color w:val="000000"/>
                      <w:sz w:val="20"/>
                    </w:rPr>
                    <w:t xml:space="preserve">Under 25 </w:t>
                  </w:r>
                </w:p>
              </w:tc>
              <w:tc>
                <w:tcPr>
                  <w:tcW w:w="1604" w:type="dxa"/>
                  <w:tcBorders>
                    <w:bottom w:val="single" w:sz="4" w:space="0" w:color="auto"/>
                  </w:tcBorders>
                  <w:vAlign w:val="center"/>
                </w:tcPr>
                <w:p w14:paraId="127B9E03" w14:textId="77777777" w:rsidR="00012558" w:rsidRPr="008F5E78" w:rsidRDefault="00012558" w:rsidP="006E62CA">
                  <w:pPr>
                    <w:spacing w:line="210" w:lineRule="atLeast"/>
                    <w:jc w:val="right"/>
                    <w:rPr>
                      <w:rFonts w:cs="Arial"/>
                      <w:color w:val="000000"/>
                      <w:sz w:val="20"/>
                    </w:rPr>
                  </w:pPr>
                  <w:r w:rsidRPr="008F5E78">
                    <w:rPr>
                      <w:rFonts w:cs="Arial"/>
                      <w:color w:val="000000"/>
                      <w:sz w:val="20"/>
                    </w:rPr>
                    <w:t xml:space="preserve">$ .05 </w:t>
                  </w:r>
                </w:p>
              </w:tc>
            </w:tr>
            <w:tr w:rsidR="00012558" w:rsidRPr="00512590" w14:paraId="47D949C0" w14:textId="77777777" w:rsidTr="006E62CA">
              <w:trPr>
                <w:jc w:val="center"/>
              </w:trPr>
              <w:tc>
                <w:tcPr>
                  <w:tcW w:w="4246" w:type="dxa"/>
                  <w:tcBorders>
                    <w:bottom w:val="single" w:sz="4" w:space="0" w:color="auto"/>
                    <w:right w:val="single" w:sz="4" w:space="0" w:color="auto"/>
                  </w:tcBorders>
                  <w:vAlign w:val="center"/>
                </w:tcPr>
                <w:p w14:paraId="0C8CF97B" w14:textId="77777777" w:rsidR="00012558" w:rsidRPr="008F5E78" w:rsidRDefault="00012558" w:rsidP="006E62CA">
                  <w:pPr>
                    <w:spacing w:line="210" w:lineRule="atLeast"/>
                    <w:rPr>
                      <w:rFonts w:cs="Arial"/>
                      <w:color w:val="000000"/>
                      <w:sz w:val="20"/>
                    </w:rPr>
                  </w:pPr>
                  <w:r w:rsidRPr="008F5E78">
                    <w:rPr>
                      <w:rFonts w:cs="Arial"/>
                      <w:color w:val="000000"/>
                      <w:sz w:val="20"/>
                    </w:rPr>
                    <w:t xml:space="preserve">25 through 29 </w:t>
                  </w:r>
                </w:p>
              </w:tc>
              <w:tc>
                <w:tcPr>
                  <w:tcW w:w="1604" w:type="dxa"/>
                  <w:tcBorders>
                    <w:bottom w:val="single" w:sz="4" w:space="0" w:color="auto"/>
                  </w:tcBorders>
                  <w:vAlign w:val="center"/>
                </w:tcPr>
                <w:p w14:paraId="174B8927" w14:textId="77777777" w:rsidR="00012558" w:rsidRPr="008F5E78" w:rsidRDefault="00012558" w:rsidP="006E62CA">
                  <w:pPr>
                    <w:spacing w:line="210" w:lineRule="atLeast"/>
                    <w:jc w:val="right"/>
                    <w:rPr>
                      <w:rFonts w:cs="Arial"/>
                      <w:color w:val="000000"/>
                      <w:sz w:val="20"/>
                    </w:rPr>
                  </w:pPr>
                  <w:r w:rsidRPr="008F5E78">
                    <w:rPr>
                      <w:rFonts w:cs="Arial"/>
                      <w:color w:val="000000"/>
                      <w:sz w:val="20"/>
                    </w:rPr>
                    <w:t xml:space="preserve">.06 </w:t>
                  </w:r>
                </w:p>
              </w:tc>
            </w:tr>
            <w:tr w:rsidR="00012558" w:rsidRPr="00512590" w14:paraId="08FEE43F" w14:textId="77777777" w:rsidTr="006E62CA">
              <w:trPr>
                <w:jc w:val="center"/>
              </w:trPr>
              <w:tc>
                <w:tcPr>
                  <w:tcW w:w="4246" w:type="dxa"/>
                  <w:tcBorders>
                    <w:bottom w:val="single" w:sz="4" w:space="0" w:color="auto"/>
                    <w:right w:val="single" w:sz="4" w:space="0" w:color="auto"/>
                  </w:tcBorders>
                  <w:vAlign w:val="center"/>
                </w:tcPr>
                <w:p w14:paraId="75EF2782" w14:textId="77777777" w:rsidR="00012558" w:rsidRPr="008F5E78" w:rsidRDefault="00012558" w:rsidP="006E62CA">
                  <w:pPr>
                    <w:spacing w:line="210" w:lineRule="atLeast"/>
                    <w:rPr>
                      <w:rFonts w:cs="Arial"/>
                      <w:color w:val="000000"/>
                      <w:sz w:val="20"/>
                    </w:rPr>
                  </w:pPr>
                  <w:r w:rsidRPr="008F5E78">
                    <w:rPr>
                      <w:rFonts w:cs="Arial"/>
                      <w:color w:val="000000"/>
                      <w:sz w:val="20"/>
                    </w:rPr>
                    <w:t xml:space="preserve">30 through 34 </w:t>
                  </w:r>
                </w:p>
              </w:tc>
              <w:tc>
                <w:tcPr>
                  <w:tcW w:w="1604" w:type="dxa"/>
                  <w:tcBorders>
                    <w:bottom w:val="single" w:sz="4" w:space="0" w:color="auto"/>
                  </w:tcBorders>
                  <w:vAlign w:val="center"/>
                </w:tcPr>
                <w:p w14:paraId="72CBA17B" w14:textId="77777777" w:rsidR="00012558" w:rsidRPr="008F5E78" w:rsidRDefault="00012558" w:rsidP="006E62CA">
                  <w:pPr>
                    <w:spacing w:line="210" w:lineRule="atLeast"/>
                    <w:jc w:val="right"/>
                    <w:rPr>
                      <w:rFonts w:cs="Arial"/>
                      <w:color w:val="000000"/>
                      <w:sz w:val="20"/>
                    </w:rPr>
                  </w:pPr>
                  <w:r w:rsidRPr="008F5E78">
                    <w:rPr>
                      <w:rFonts w:cs="Arial"/>
                      <w:color w:val="000000"/>
                      <w:sz w:val="20"/>
                    </w:rPr>
                    <w:t xml:space="preserve">.08 </w:t>
                  </w:r>
                </w:p>
              </w:tc>
            </w:tr>
            <w:tr w:rsidR="00012558" w:rsidRPr="00512590" w14:paraId="5968A43E" w14:textId="77777777" w:rsidTr="006E62CA">
              <w:trPr>
                <w:jc w:val="center"/>
              </w:trPr>
              <w:tc>
                <w:tcPr>
                  <w:tcW w:w="4246" w:type="dxa"/>
                  <w:tcBorders>
                    <w:bottom w:val="single" w:sz="4" w:space="0" w:color="auto"/>
                    <w:right w:val="single" w:sz="4" w:space="0" w:color="auto"/>
                  </w:tcBorders>
                  <w:vAlign w:val="center"/>
                </w:tcPr>
                <w:p w14:paraId="35870267" w14:textId="77777777" w:rsidR="00012558" w:rsidRPr="008F5E78" w:rsidRDefault="00012558" w:rsidP="006E62CA">
                  <w:pPr>
                    <w:spacing w:line="210" w:lineRule="atLeast"/>
                    <w:rPr>
                      <w:rFonts w:cs="Arial"/>
                      <w:color w:val="000000"/>
                      <w:sz w:val="20"/>
                    </w:rPr>
                  </w:pPr>
                  <w:r w:rsidRPr="008F5E78">
                    <w:rPr>
                      <w:rFonts w:cs="Arial"/>
                      <w:color w:val="000000"/>
                      <w:sz w:val="20"/>
                    </w:rPr>
                    <w:t xml:space="preserve">35 through 39 </w:t>
                  </w:r>
                </w:p>
              </w:tc>
              <w:tc>
                <w:tcPr>
                  <w:tcW w:w="1604" w:type="dxa"/>
                  <w:tcBorders>
                    <w:bottom w:val="single" w:sz="4" w:space="0" w:color="auto"/>
                  </w:tcBorders>
                  <w:vAlign w:val="center"/>
                </w:tcPr>
                <w:p w14:paraId="17740821" w14:textId="77777777" w:rsidR="00012558" w:rsidRPr="008F5E78" w:rsidRDefault="00012558" w:rsidP="006E62CA">
                  <w:pPr>
                    <w:spacing w:line="210" w:lineRule="atLeast"/>
                    <w:jc w:val="right"/>
                    <w:rPr>
                      <w:rFonts w:cs="Arial"/>
                      <w:color w:val="000000"/>
                      <w:sz w:val="20"/>
                    </w:rPr>
                  </w:pPr>
                  <w:r w:rsidRPr="008F5E78">
                    <w:rPr>
                      <w:rFonts w:cs="Arial"/>
                      <w:color w:val="000000"/>
                      <w:sz w:val="20"/>
                    </w:rPr>
                    <w:t xml:space="preserve">.09 </w:t>
                  </w:r>
                </w:p>
              </w:tc>
            </w:tr>
            <w:tr w:rsidR="00012558" w:rsidRPr="00512590" w14:paraId="5B713490" w14:textId="77777777" w:rsidTr="006E62CA">
              <w:trPr>
                <w:jc w:val="center"/>
              </w:trPr>
              <w:tc>
                <w:tcPr>
                  <w:tcW w:w="4246" w:type="dxa"/>
                  <w:tcBorders>
                    <w:bottom w:val="single" w:sz="4" w:space="0" w:color="auto"/>
                    <w:right w:val="single" w:sz="4" w:space="0" w:color="auto"/>
                  </w:tcBorders>
                  <w:vAlign w:val="center"/>
                </w:tcPr>
                <w:p w14:paraId="1E71B897" w14:textId="77777777" w:rsidR="00012558" w:rsidRPr="008F5E78" w:rsidRDefault="00012558" w:rsidP="006E62CA">
                  <w:pPr>
                    <w:spacing w:line="210" w:lineRule="atLeast"/>
                    <w:rPr>
                      <w:rFonts w:cs="Arial"/>
                      <w:color w:val="000000"/>
                      <w:sz w:val="20"/>
                    </w:rPr>
                  </w:pPr>
                  <w:r w:rsidRPr="008F5E78">
                    <w:rPr>
                      <w:rFonts w:cs="Arial"/>
                      <w:color w:val="000000"/>
                      <w:sz w:val="20"/>
                    </w:rPr>
                    <w:t xml:space="preserve">40 through 44 </w:t>
                  </w:r>
                </w:p>
              </w:tc>
              <w:tc>
                <w:tcPr>
                  <w:tcW w:w="1604" w:type="dxa"/>
                  <w:tcBorders>
                    <w:bottom w:val="single" w:sz="4" w:space="0" w:color="auto"/>
                  </w:tcBorders>
                  <w:vAlign w:val="center"/>
                </w:tcPr>
                <w:p w14:paraId="0BC33913" w14:textId="77777777" w:rsidR="00012558" w:rsidRPr="008F5E78" w:rsidRDefault="00012558" w:rsidP="006E62CA">
                  <w:pPr>
                    <w:spacing w:line="210" w:lineRule="atLeast"/>
                    <w:jc w:val="right"/>
                    <w:rPr>
                      <w:rFonts w:cs="Arial"/>
                      <w:color w:val="000000"/>
                      <w:sz w:val="20"/>
                    </w:rPr>
                  </w:pPr>
                  <w:r w:rsidRPr="008F5E78">
                    <w:rPr>
                      <w:rFonts w:cs="Arial"/>
                      <w:color w:val="000000"/>
                      <w:sz w:val="20"/>
                    </w:rPr>
                    <w:t xml:space="preserve">.10 </w:t>
                  </w:r>
                </w:p>
              </w:tc>
            </w:tr>
            <w:tr w:rsidR="00012558" w:rsidRPr="00512590" w14:paraId="5570B7D2" w14:textId="77777777" w:rsidTr="006E62CA">
              <w:trPr>
                <w:jc w:val="center"/>
              </w:trPr>
              <w:tc>
                <w:tcPr>
                  <w:tcW w:w="4246" w:type="dxa"/>
                  <w:tcBorders>
                    <w:bottom w:val="single" w:sz="4" w:space="0" w:color="auto"/>
                    <w:right w:val="single" w:sz="4" w:space="0" w:color="auto"/>
                  </w:tcBorders>
                  <w:vAlign w:val="center"/>
                </w:tcPr>
                <w:p w14:paraId="20FA6E07" w14:textId="77777777" w:rsidR="00012558" w:rsidRPr="008F5E78" w:rsidRDefault="00012558" w:rsidP="006E62CA">
                  <w:pPr>
                    <w:spacing w:line="210" w:lineRule="atLeast"/>
                    <w:rPr>
                      <w:rFonts w:cs="Arial"/>
                      <w:color w:val="000000"/>
                      <w:sz w:val="20"/>
                    </w:rPr>
                  </w:pPr>
                  <w:r w:rsidRPr="008F5E78">
                    <w:rPr>
                      <w:rFonts w:cs="Arial"/>
                      <w:color w:val="000000"/>
                      <w:sz w:val="20"/>
                    </w:rPr>
                    <w:t xml:space="preserve">45 through 49 </w:t>
                  </w:r>
                </w:p>
              </w:tc>
              <w:tc>
                <w:tcPr>
                  <w:tcW w:w="1604" w:type="dxa"/>
                  <w:tcBorders>
                    <w:bottom w:val="single" w:sz="4" w:space="0" w:color="auto"/>
                  </w:tcBorders>
                  <w:vAlign w:val="center"/>
                </w:tcPr>
                <w:p w14:paraId="425BC3BB" w14:textId="77777777" w:rsidR="00012558" w:rsidRPr="008F5E78" w:rsidRDefault="00012558" w:rsidP="006E62CA">
                  <w:pPr>
                    <w:spacing w:line="210" w:lineRule="atLeast"/>
                    <w:jc w:val="right"/>
                    <w:rPr>
                      <w:rFonts w:cs="Arial"/>
                      <w:color w:val="000000"/>
                      <w:sz w:val="20"/>
                    </w:rPr>
                  </w:pPr>
                  <w:r w:rsidRPr="008F5E78">
                    <w:rPr>
                      <w:rFonts w:cs="Arial"/>
                      <w:color w:val="000000"/>
                      <w:sz w:val="20"/>
                    </w:rPr>
                    <w:t xml:space="preserve">.15 </w:t>
                  </w:r>
                </w:p>
              </w:tc>
            </w:tr>
            <w:tr w:rsidR="00012558" w:rsidRPr="00512590" w14:paraId="2B89E04F" w14:textId="77777777" w:rsidTr="006E62CA">
              <w:trPr>
                <w:jc w:val="center"/>
              </w:trPr>
              <w:tc>
                <w:tcPr>
                  <w:tcW w:w="4246" w:type="dxa"/>
                  <w:tcBorders>
                    <w:bottom w:val="single" w:sz="4" w:space="0" w:color="auto"/>
                    <w:right w:val="single" w:sz="4" w:space="0" w:color="auto"/>
                  </w:tcBorders>
                  <w:vAlign w:val="center"/>
                </w:tcPr>
                <w:p w14:paraId="6048D9CA" w14:textId="77777777" w:rsidR="00012558" w:rsidRPr="008F5E78" w:rsidRDefault="00012558" w:rsidP="006E62CA">
                  <w:pPr>
                    <w:spacing w:line="210" w:lineRule="atLeast"/>
                    <w:rPr>
                      <w:rFonts w:cs="Arial"/>
                      <w:color w:val="000000"/>
                      <w:sz w:val="20"/>
                    </w:rPr>
                  </w:pPr>
                  <w:r w:rsidRPr="008F5E78">
                    <w:rPr>
                      <w:rFonts w:cs="Arial"/>
                      <w:color w:val="000000"/>
                      <w:sz w:val="20"/>
                    </w:rPr>
                    <w:t xml:space="preserve">50 through 54 </w:t>
                  </w:r>
                </w:p>
              </w:tc>
              <w:tc>
                <w:tcPr>
                  <w:tcW w:w="1604" w:type="dxa"/>
                  <w:tcBorders>
                    <w:bottom w:val="single" w:sz="4" w:space="0" w:color="auto"/>
                  </w:tcBorders>
                  <w:vAlign w:val="center"/>
                </w:tcPr>
                <w:p w14:paraId="65D806CD" w14:textId="77777777" w:rsidR="00012558" w:rsidRPr="008F5E78" w:rsidRDefault="00012558" w:rsidP="006E62CA">
                  <w:pPr>
                    <w:spacing w:line="210" w:lineRule="atLeast"/>
                    <w:jc w:val="right"/>
                    <w:rPr>
                      <w:rFonts w:cs="Arial"/>
                      <w:color w:val="000000"/>
                      <w:sz w:val="20"/>
                    </w:rPr>
                  </w:pPr>
                  <w:r w:rsidRPr="008F5E78">
                    <w:rPr>
                      <w:rFonts w:cs="Arial"/>
                      <w:color w:val="000000"/>
                      <w:sz w:val="20"/>
                    </w:rPr>
                    <w:t xml:space="preserve">.23 </w:t>
                  </w:r>
                </w:p>
              </w:tc>
            </w:tr>
            <w:tr w:rsidR="00012558" w:rsidRPr="00512590" w14:paraId="105643BF" w14:textId="77777777" w:rsidTr="006E62CA">
              <w:trPr>
                <w:jc w:val="center"/>
              </w:trPr>
              <w:tc>
                <w:tcPr>
                  <w:tcW w:w="4246" w:type="dxa"/>
                  <w:tcBorders>
                    <w:bottom w:val="single" w:sz="4" w:space="0" w:color="auto"/>
                    <w:right w:val="single" w:sz="4" w:space="0" w:color="auto"/>
                  </w:tcBorders>
                  <w:vAlign w:val="center"/>
                </w:tcPr>
                <w:p w14:paraId="636EF783" w14:textId="77777777" w:rsidR="00012558" w:rsidRPr="008F5E78" w:rsidRDefault="00012558" w:rsidP="006E62CA">
                  <w:pPr>
                    <w:spacing w:line="210" w:lineRule="atLeast"/>
                    <w:rPr>
                      <w:rFonts w:cs="Arial"/>
                      <w:color w:val="000000"/>
                      <w:sz w:val="20"/>
                    </w:rPr>
                  </w:pPr>
                  <w:r w:rsidRPr="008F5E78">
                    <w:rPr>
                      <w:rFonts w:cs="Arial"/>
                      <w:color w:val="000000"/>
                      <w:sz w:val="20"/>
                    </w:rPr>
                    <w:t xml:space="preserve">55 through 59 </w:t>
                  </w:r>
                </w:p>
              </w:tc>
              <w:tc>
                <w:tcPr>
                  <w:tcW w:w="1604" w:type="dxa"/>
                  <w:tcBorders>
                    <w:bottom w:val="single" w:sz="4" w:space="0" w:color="auto"/>
                  </w:tcBorders>
                  <w:vAlign w:val="center"/>
                </w:tcPr>
                <w:p w14:paraId="331A3B00" w14:textId="77777777" w:rsidR="00012558" w:rsidRPr="008F5E78" w:rsidRDefault="00012558" w:rsidP="006E62CA">
                  <w:pPr>
                    <w:spacing w:line="210" w:lineRule="atLeast"/>
                    <w:jc w:val="right"/>
                    <w:rPr>
                      <w:rFonts w:cs="Arial"/>
                      <w:color w:val="000000"/>
                      <w:sz w:val="20"/>
                    </w:rPr>
                  </w:pPr>
                  <w:r w:rsidRPr="008F5E78">
                    <w:rPr>
                      <w:rFonts w:cs="Arial"/>
                      <w:color w:val="000000"/>
                      <w:sz w:val="20"/>
                    </w:rPr>
                    <w:t xml:space="preserve">.43 </w:t>
                  </w:r>
                </w:p>
              </w:tc>
            </w:tr>
            <w:tr w:rsidR="00012558" w:rsidRPr="00512590" w14:paraId="4DB45203" w14:textId="77777777" w:rsidTr="006E62CA">
              <w:trPr>
                <w:jc w:val="center"/>
              </w:trPr>
              <w:tc>
                <w:tcPr>
                  <w:tcW w:w="4246" w:type="dxa"/>
                  <w:tcBorders>
                    <w:bottom w:val="single" w:sz="4" w:space="0" w:color="auto"/>
                    <w:right w:val="single" w:sz="4" w:space="0" w:color="auto"/>
                  </w:tcBorders>
                  <w:vAlign w:val="center"/>
                </w:tcPr>
                <w:p w14:paraId="5871BA92" w14:textId="77777777" w:rsidR="00012558" w:rsidRPr="008F5E78" w:rsidRDefault="00012558" w:rsidP="006E62CA">
                  <w:pPr>
                    <w:spacing w:line="210" w:lineRule="atLeast"/>
                    <w:rPr>
                      <w:rFonts w:cs="Arial"/>
                      <w:color w:val="000000"/>
                      <w:sz w:val="20"/>
                    </w:rPr>
                  </w:pPr>
                  <w:r w:rsidRPr="008F5E78">
                    <w:rPr>
                      <w:rFonts w:cs="Arial"/>
                      <w:color w:val="000000"/>
                      <w:sz w:val="20"/>
                    </w:rPr>
                    <w:t xml:space="preserve">60 through 64 </w:t>
                  </w:r>
                </w:p>
              </w:tc>
              <w:tc>
                <w:tcPr>
                  <w:tcW w:w="1604" w:type="dxa"/>
                  <w:tcBorders>
                    <w:bottom w:val="single" w:sz="4" w:space="0" w:color="auto"/>
                  </w:tcBorders>
                  <w:vAlign w:val="center"/>
                </w:tcPr>
                <w:p w14:paraId="1E0F581F" w14:textId="77777777" w:rsidR="00012558" w:rsidRPr="008F5E78" w:rsidRDefault="00012558" w:rsidP="006E62CA">
                  <w:pPr>
                    <w:spacing w:line="210" w:lineRule="atLeast"/>
                    <w:jc w:val="right"/>
                    <w:rPr>
                      <w:rFonts w:cs="Arial"/>
                      <w:color w:val="000000"/>
                      <w:sz w:val="20"/>
                    </w:rPr>
                  </w:pPr>
                  <w:r w:rsidRPr="008F5E78">
                    <w:rPr>
                      <w:rFonts w:cs="Arial"/>
                      <w:color w:val="000000"/>
                      <w:sz w:val="20"/>
                    </w:rPr>
                    <w:t xml:space="preserve">.66 </w:t>
                  </w:r>
                </w:p>
              </w:tc>
            </w:tr>
            <w:tr w:rsidR="00012558" w:rsidRPr="00512590" w14:paraId="599ECABD" w14:textId="77777777" w:rsidTr="006E62CA">
              <w:trPr>
                <w:jc w:val="center"/>
              </w:trPr>
              <w:tc>
                <w:tcPr>
                  <w:tcW w:w="4246" w:type="dxa"/>
                  <w:tcBorders>
                    <w:bottom w:val="single" w:sz="4" w:space="0" w:color="auto"/>
                    <w:right w:val="single" w:sz="4" w:space="0" w:color="auto"/>
                  </w:tcBorders>
                  <w:vAlign w:val="center"/>
                </w:tcPr>
                <w:p w14:paraId="19BB1223" w14:textId="77777777" w:rsidR="00012558" w:rsidRPr="008F5E78" w:rsidRDefault="00012558" w:rsidP="006E62CA">
                  <w:pPr>
                    <w:spacing w:line="210" w:lineRule="atLeast"/>
                    <w:rPr>
                      <w:rFonts w:cs="Arial"/>
                      <w:color w:val="000000"/>
                      <w:sz w:val="20"/>
                    </w:rPr>
                  </w:pPr>
                  <w:r w:rsidRPr="008F5E78">
                    <w:rPr>
                      <w:rFonts w:cs="Arial"/>
                      <w:color w:val="000000"/>
                      <w:sz w:val="20"/>
                    </w:rPr>
                    <w:t xml:space="preserve">65 through 69 </w:t>
                  </w:r>
                </w:p>
              </w:tc>
              <w:tc>
                <w:tcPr>
                  <w:tcW w:w="1604" w:type="dxa"/>
                  <w:tcBorders>
                    <w:bottom w:val="single" w:sz="4" w:space="0" w:color="auto"/>
                  </w:tcBorders>
                  <w:vAlign w:val="center"/>
                </w:tcPr>
                <w:p w14:paraId="38B38269" w14:textId="77777777" w:rsidR="00012558" w:rsidRPr="008F5E78" w:rsidRDefault="00012558" w:rsidP="006E62CA">
                  <w:pPr>
                    <w:spacing w:line="210" w:lineRule="atLeast"/>
                    <w:jc w:val="right"/>
                    <w:rPr>
                      <w:rFonts w:cs="Arial"/>
                      <w:color w:val="000000"/>
                      <w:sz w:val="20"/>
                    </w:rPr>
                  </w:pPr>
                  <w:r w:rsidRPr="008F5E78">
                    <w:rPr>
                      <w:rFonts w:cs="Arial"/>
                      <w:color w:val="000000"/>
                      <w:sz w:val="20"/>
                    </w:rPr>
                    <w:t xml:space="preserve">1.27 </w:t>
                  </w:r>
                </w:p>
              </w:tc>
            </w:tr>
            <w:tr w:rsidR="00012558" w:rsidRPr="00512590" w14:paraId="7E9A3D53" w14:textId="77777777" w:rsidTr="006E62CA">
              <w:trPr>
                <w:jc w:val="center"/>
              </w:trPr>
              <w:tc>
                <w:tcPr>
                  <w:tcW w:w="4246" w:type="dxa"/>
                  <w:tcBorders>
                    <w:right w:val="single" w:sz="4" w:space="0" w:color="auto"/>
                  </w:tcBorders>
                  <w:vAlign w:val="center"/>
                </w:tcPr>
                <w:p w14:paraId="3BD49146" w14:textId="77777777" w:rsidR="00012558" w:rsidRPr="008F5E78" w:rsidRDefault="00012558" w:rsidP="006E62CA">
                  <w:pPr>
                    <w:spacing w:line="210" w:lineRule="atLeast"/>
                    <w:rPr>
                      <w:rFonts w:cs="Arial"/>
                      <w:color w:val="000000"/>
                      <w:sz w:val="20"/>
                    </w:rPr>
                  </w:pPr>
                  <w:r w:rsidRPr="008F5E78">
                    <w:rPr>
                      <w:rFonts w:cs="Arial"/>
                      <w:color w:val="000000"/>
                      <w:sz w:val="20"/>
                    </w:rPr>
                    <w:t xml:space="preserve">70 and older </w:t>
                  </w:r>
                </w:p>
              </w:tc>
              <w:tc>
                <w:tcPr>
                  <w:tcW w:w="1604" w:type="dxa"/>
                  <w:vAlign w:val="center"/>
                </w:tcPr>
                <w:p w14:paraId="64D5F163" w14:textId="77777777" w:rsidR="00012558" w:rsidRPr="008F5E78" w:rsidRDefault="00012558" w:rsidP="006E62CA">
                  <w:pPr>
                    <w:spacing w:line="210" w:lineRule="atLeast"/>
                    <w:jc w:val="right"/>
                    <w:rPr>
                      <w:rFonts w:cs="Arial"/>
                      <w:color w:val="000000"/>
                      <w:sz w:val="20"/>
                    </w:rPr>
                  </w:pPr>
                  <w:r w:rsidRPr="008F5E78">
                    <w:rPr>
                      <w:rFonts w:cs="Arial"/>
                      <w:color w:val="000000"/>
                      <w:sz w:val="20"/>
                    </w:rPr>
                    <w:t xml:space="preserve">2.06 </w:t>
                  </w:r>
                </w:p>
              </w:tc>
            </w:tr>
          </w:tbl>
          <w:p w14:paraId="7E2F9B99" w14:textId="77777777" w:rsidR="00012558" w:rsidRPr="00FA1F8D" w:rsidRDefault="00012558" w:rsidP="006E62CA">
            <w:pPr>
              <w:rPr>
                <w:sz w:val="22"/>
                <w:szCs w:val="22"/>
              </w:rPr>
            </w:pPr>
          </w:p>
        </w:tc>
      </w:tr>
    </w:tbl>
    <w:p w14:paraId="2B946CFD" w14:textId="77777777" w:rsidR="00BD5D7F" w:rsidRDefault="00BD5D7F" w:rsidP="00BD5D7F">
      <w:pPr>
        <w:pStyle w:val="BlockLine"/>
        <w:ind w:left="1350"/>
        <w:jc w:val="right"/>
        <w:rPr>
          <w:i/>
          <w:sz w:val="16"/>
          <w:szCs w:val="16"/>
        </w:rPr>
      </w:pPr>
      <w:proofErr w:type="gramStart"/>
      <w:r>
        <w:rPr>
          <w:i/>
          <w:sz w:val="16"/>
          <w:szCs w:val="16"/>
        </w:rPr>
        <w:t>Continued on</w:t>
      </w:r>
      <w:proofErr w:type="gramEnd"/>
      <w:r>
        <w:rPr>
          <w:i/>
          <w:sz w:val="16"/>
          <w:szCs w:val="16"/>
        </w:rPr>
        <w:t xml:space="preserve"> next page</w:t>
      </w:r>
    </w:p>
    <w:p w14:paraId="78260238" w14:textId="4AD123F4" w:rsidR="004D35C8" w:rsidRPr="006B1E7E" w:rsidRDefault="00BD5D7F" w:rsidP="004D35C8">
      <w:pPr>
        <w:rPr>
          <w:szCs w:val="24"/>
        </w:rPr>
      </w:pPr>
      <w:r>
        <w:rPr>
          <w:b/>
          <w:bCs/>
          <w:sz w:val="28"/>
          <w:szCs w:val="28"/>
        </w:rPr>
        <w:br w:type="page"/>
      </w:r>
      <w:r w:rsidR="00DB6731">
        <w:rPr>
          <w:b/>
          <w:bCs/>
          <w:sz w:val="28"/>
          <w:szCs w:val="28"/>
        </w:rPr>
        <w:lastRenderedPageBreak/>
        <w:t>2024</w:t>
      </w:r>
      <w:r w:rsidR="004D35C8" w:rsidRPr="00AC4E5F">
        <w:rPr>
          <w:b/>
          <w:bCs/>
          <w:sz w:val="28"/>
          <w:szCs w:val="28"/>
        </w:rPr>
        <w:t xml:space="preserve"> </w:t>
      </w:r>
      <w:r w:rsidR="004D35C8">
        <w:rPr>
          <w:b/>
          <w:bCs/>
          <w:sz w:val="28"/>
          <w:szCs w:val="28"/>
        </w:rPr>
        <w:t>Imputed Income for ORP Participants Eligible for Continued Grp Life</w:t>
      </w:r>
      <w:r w:rsidR="004D35C8">
        <w:rPr>
          <w:b/>
          <w:bCs/>
          <w:sz w:val="32"/>
          <w:szCs w:val="32"/>
        </w:rPr>
        <w:t xml:space="preserve">, </w:t>
      </w:r>
      <w:r w:rsidR="004D35C8" w:rsidRPr="006B1E7E">
        <w:rPr>
          <w:bCs/>
          <w:i/>
          <w:szCs w:val="24"/>
        </w:rPr>
        <w:t>continued</w:t>
      </w:r>
    </w:p>
    <w:p w14:paraId="65301627" w14:textId="77777777" w:rsidR="004D35C8" w:rsidRDefault="004D35C8" w:rsidP="004D35C8">
      <w:pPr>
        <w:pStyle w:val="BlockLine"/>
        <w:ind w:left="1350"/>
        <w:rPr>
          <w:sz w:val="16"/>
          <w:szCs w:val="16"/>
        </w:rPr>
      </w:pPr>
    </w:p>
    <w:tbl>
      <w:tblPr>
        <w:tblW w:w="10800" w:type="dxa"/>
        <w:tblInd w:w="108" w:type="dxa"/>
        <w:tblLayout w:type="fixed"/>
        <w:tblLook w:val="0000" w:firstRow="0" w:lastRow="0" w:firstColumn="0" w:lastColumn="0" w:noHBand="0" w:noVBand="0"/>
      </w:tblPr>
      <w:tblGrid>
        <w:gridCol w:w="1620"/>
        <w:gridCol w:w="9180"/>
      </w:tblGrid>
      <w:tr w:rsidR="008C6482" w:rsidRPr="00AD57F0" w14:paraId="60314583" w14:textId="77777777" w:rsidTr="00BA2045">
        <w:trPr>
          <w:cantSplit/>
        </w:trPr>
        <w:tc>
          <w:tcPr>
            <w:tcW w:w="1620" w:type="dxa"/>
          </w:tcPr>
          <w:p w14:paraId="00506748" w14:textId="2F036040" w:rsidR="008C6482" w:rsidRPr="007F4A3A" w:rsidRDefault="008C6482" w:rsidP="00BA2045">
            <w:pPr>
              <w:pStyle w:val="Heading5"/>
              <w:rPr>
                <w:rFonts w:ascii="Times New Roman Bold" w:hAnsi="Times New Roman Bold"/>
                <w:szCs w:val="22"/>
              </w:rPr>
            </w:pPr>
            <w:r>
              <w:rPr>
                <w:rFonts w:ascii="Times New Roman Bold" w:hAnsi="Times New Roman Bold"/>
                <w:szCs w:val="22"/>
              </w:rPr>
              <w:t>HCM Record Set UP</w:t>
            </w:r>
          </w:p>
        </w:tc>
        <w:tc>
          <w:tcPr>
            <w:tcW w:w="9180" w:type="dxa"/>
          </w:tcPr>
          <w:p w14:paraId="2796D334" w14:textId="5F1D3823" w:rsidR="008C6482" w:rsidRPr="007F4A3A" w:rsidRDefault="008C6482" w:rsidP="003B1B65">
            <w:pPr>
              <w:rPr>
                <w:sz w:val="22"/>
                <w:szCs w:val="22"/>
              </w:rPr>
            </w:pPr>
            <w:r>
              <w:rPr>
                <w:sz w:val="22"/>
                <w:szCs w:val="22"/>
              </w:rPr>
              <w:t xml:space="preserve">Retired participants in ORPHE plans must </w:t>
            </w:r>
            <w:r w:rsidR="003B1B65">
              <w:rPr>
                <w:sz w:val="22"/>
                <w:szCs w:val="22"/>
              </w:rPr>
              <w:t>have a job data record in HCM.  Please refer to BN361, ORP Retiree Guide for detailed information.  This set up must be completed before the imputed income can be processed.</w:t>
            </w:r>
            <w:r w:rsidR="00170526">
              <w:rPr>
                <w:b/>
                <w:sz w:val="22"/>
                <w:szCs w:val="22"/>
              </w:rPr>
              <w:t xml:space="preserve">  </w:t>
            </w:r>
            <w:r w:rsidR="00170526" w:rsidRPr="00170526">
              <w:rPr>
                <w:bCs/>
                <w:sz w:val="22"/>
                <w:szCs w:val="22"/>
              </w:rPr>
              <w:t xml:space="preserve">Employees must be in </w:t>
            </w:r>
            <w:r w:rsidR="00170526">
              <w:rPr>
                <w:bCs/>
                <w:sz w:val="22"/>
                <w:szCs w:val="22"/>
              </w:rPr>
              <w:t xml:space="preserve">the </w:t>
            </w:r>
            <w:r w:rsidR="00170526" w:rsidRPr="00170526">
              <w:rPr>
                <w:bCs/>
                <w:sz w:val="22"/>
                <w:szCs w:val="22"/>
              </w:rPr>
              <w:t>“MNP” paygroup</w:t>
            </w:r>
            <w:r w:rsidR="00A50DED">
              <w:rPr>
                <w:bCs/>
                <w:sz w:val="22"/>
                <w:szCs w:val="22"/>
              </w:rPr>
              <w:t xml:space="preserve"> of the agency from which they retired</w:t>
            </w:r>
            <w:r w:rsidR="00170526" w:rsidRPr="00170526">
              <w:rPr>
                <w:bCs/>
                <w:sz w:val="22"/>
                <w:szCs w:val="22"/>
              </w:rPr>
              <w:t>.</w:t>
            </w:r>
          </w:p>
        </w:tc>
      </w:tr>
    </w:tbl>
    <w:p w14:paraId="5D448FB9" w14:textId="77777777" w:rsidR="008C6482" w:rsidRDefault="008C6482" w:rsidP="008C6482">
      <w:pPr>
        <w:pStyle w:val="BlockLine"/>
        <w:ind w:left="1350"/>
        <w:rPr>
          <w:sz w:val="16"/>
          <w:szCs w:val="16"/>
        </w:rPr>
      </w:pPr>
    </w:p>
    <w:tbl>
      <w:tblPr>
        <w:tblW w:w="10800" w:type="dxa"/>
        <w:tblInd w:w="108" w:type="dxa"/>
        <w:tblLayout w:type="fixed"/>
        <w:tblLook w:val="0000" w:firstRow="0" w:lastRow="0" w:firstColumn="0" w:lastColumn="0" w:noHBand="0" w:noVBand="0"/>
      </w:tblPr>
      <w:tblGrid>
        <w:gridCol w:w="1620"/>
        <w:gridCol w:w="9180"/>
      </w:tblGrid>
      <w:tr w:rsidR="00276B8A" w:rsidRPr="00AD57F0" w14:paraId="70714117" w14:textId="77777777" w:rsidTr="00BA2045">
        <w:trPr>
          <w:cantSplit/>
        </w:trPr>
        <w:tc>
          <w:tcPr>
            <w:tcW w:w="1620" w:type="dxa"/>
          </w:tcPr>
          <w:p w14:paraId="79F3A73C" w14:textId="77777777" w:rsidR="00276B8A" w:rsidRPr="007F4A3A" w:rsidRDefault="00276B8A" w:rsidP="00BA2045">
            <w:pPr>
              <w:pStyle w:val="Heading5"/>
              <w:rPr>
                <w:rFonts w:ascii="Times New Roman Bold" w:hAnsi="Times New Roman Bold"/>
                <w:szCs w:val="22"/>
              </w:rPr>
            </w:pPr>
            <w:r>
              <w:rPr>
                <w:rFonts w:ascii="Times New Roman Bold" w:hAnsi="Times New Roman Bold"/>
                <w:szCs w:val="22"/>
              </w:rPr>
              <w:t>Calculation Worksheet</w:t>
            </w:r>
          </w:p>
        </w:tc>
        <w:tc>
          <w:tcPr>
            <w:tcW w:w="9180" w:type="dxa"/>
          </w:tcPr>
          <w:p w14:paraId="1363A302" w14:textId="77777777" w:rsidR="00276B8A" w:rsidRPr="007F4A3A" w:rsidRDefault="00276B8A" w:rsidP="00BA2045">
            <w:pPr>
              <w:rPr>
                <w:sz w:val="22"/>
                <w:szCs w:val="22"/>
              </w:rPr>
            </w:pPr>
            <w:r>
              <w:rPr>
                <w:sz w:val="22"/>
                <w:szCs w:val="22"/>
              </w:rPr>
              <w:t xml:space="preserve">All agencies must complete and submit the </w:t>
            </w:r>
            <w:r w:rsidRPr="0077266C">
              <w:rPr>
                <w:sz w:val="22"/>
                <w:szCs w:val="22"/>
              </w:rPr>
              <w:t>Post Retirement Life Insurance Calculation Worksheet for ORP Retirees</w:t>
            </w:r>
            <w:r>
              <w:rPr>
                <w:sz w:val="22"/>
                <w:szCs w:val="22"/>
              </w:rPr>
              <w:t xml:space="preserve">.  SPO will add the amount of imputed income to the employee record in HCM.  </w:t>
            </w:r>
          </w:p>
        </w:tc>
      </w:tr>
    </w:tbl>
    <w:p w14:paraId="43DB067E" w14:textId="77777777" w:rsidR="00276B8A" w:rsidRDefault="00276B8A" w:rsidP="00276B8A">
      <w:pPr>
        <w:pStyle w:val="BlockLine"/>
        <w:ind w:left="1350"/>
        <w:rPr>
          <w:sz w:val="16"/>
          <w:szCs w:val="16"/>
        </w:rPr>
      </w:pPr>
    </w:p>
    <w:tbl>
      <w:tblPr>
        <w:tblW w:w="10800" w:type="dxa"/>
        <w:tblInd w:w="108" w:type="dxa"/>
        <w:tblLayout w:type="fixed"/>
        <w:tblLook w:val="0000" w:firstRow="0" w:lastRow="0" w:firstColumn="0" w:lastColumn="0" w:noHBand="0" w:noVBand="0"/>
      </w:tblPr>
      <w:tblGrid>
        <w:gridCol w:w="1620"/>
        <w:gridCol w:w="9180"/>
      </w:tblGrid>
      <w:tr w:rsidR="004D35C8" w:rsidRPr="00AD57F0" w14:paraId="10CF6297" w14:textId="77777777" w:rsidTr="006C52CC">
        <w:trPr>
          <w:cantSplit/>
        </w:trPr>
        <w:tc>
          <w:tcPr>
            <w:tcW w:w="1620" w:type="dxa"/>
          </w:tcPr>
          <w:p w14:paraId="0C1BDA9D" w14:textId="5243B6CD" w:rsidR="004D35C8" w:rsidRPr="007F4A3A" w:rsidRDefault="00E75726" w:rsidP="006C52CC">
            <w:pPr>
              <w:pStyle w:val="Heading5"/>
              <w:rPr>
                <w:rFonts w:ascii="Times New Roman Bold" w:hAnsi="Times New Roman Bold"/>
                <w:szCs w:val="22"/>
              </w:rPr>
            </w:pPr>
            <w:r>
              <w:rPr>
                <w:rFonts w:ascii="Times New Roman Bold" w:hAnsi="Times New Roman Bold"/>
                <w:szCs w:val="22"/>
              </w:rPr>
              <w:t>Reporting Deadline</w:t>
            </w:r>
          </w:p>
        </w:tc>
        <w:tc>
          <w:tcPr>
            <w:tcW w:w="9180" w:type="dxa"/>
          </w:tcPr>
          <w:p w14:paraId="239E73DB" w14:textId="748A3FCC" w:rsidR="004D35C8" w:rsidRPr="007F4A3A" w:rsidRDefault="004D35C8" w:rsidP="005F6815">
            <w:pPr>
              <w:rPr>
                <w:sz w:val="22"/>
                <w:szCs w:val="22"/>
              </w:rPr>
            </w:pPr>
            <w:r w:rsidRPr="007F4A3A">
              <w:rPr>
                <w:sz w:val="22"/>
                <w:szCs w:val="22"/>
              </w:rPr>
              <w:t xml:space="preserve">Once you have completed the spreadsheet for the imputed income that needs to be added to the former employee’s record for </w:t>
            </w:r>
            <w:r w:rsidR="00DB6731">
              <w:rPr>
                <w:sz w:val="22"/>
                <w:szCs w:val="22"/>
              </w:rPr>
              <w:t>2024</w:t>
            </w:r>
            <w:r w:rsidRPr="007F4A3A">
              <w:rPr>
                <w:sz w:val="22"/>
                <w:szCs w:val="22"/>
              </w:rPr>
              <w:t xml:space="preserve">, </w:t>
            </w:r>
            <w:r w:rsidR="00625D73">
              <w:rPr>
                <w:sz w:val="22"/>
                <w:szCs w:val="22"/>
              </w:rPr>
              <w:t>load</w:t>
            </w:r>
            <w:r w:rsidRPr="007F4A3A">
              <w:rPr>
                <w:sz w:val="22"/>
                <w:szCs w:val="22"/>
              </w:rPr>
              <w:t xml:space="preserve"> the “Post Retirement Life Insurance Calculation” page to </w:t>
            </w:r>
            <w:r w:rsidR="00625D73">
              <w:rPr>
                <w:sz w:val="22"/>
                <w:szCs w:val="22"/>
              </w:rPr>
              <w:t>the Paysheet and Off Cycle Request folder in SPO SharePoint</w:t>
            </w:r>
            <w:r w:rsidRPr="007F4A3A">
              <w:rPr>
                <w:sz w:val="22"/>
                <w:szCs w:val="22"/>
              </w:rPr>
              <w:t xml:space="preserve">.  </w:t>
            </w:r>
            <w:r w:rsidR="009B63EF">
              <w:rPr>
                <w:sz w:val="22"/>
                <w:szCs w:val="22"/>
              </w:rPr>
              <w:t xml:space="preserve">State Payroll Operations must process a “manual check” confirmation to generate the earnings codes used to report uncollected OASDI and HI for these employees.  This confirmation is run one time only so ALL ORPHE participants who terminated </w:t>
            </w:r>
            <w:r w:rsidR="00F32F61">
              <w:rPr>
                <w:sz w:val="22"/>
                <w:szCs w:val="22"/>
              </w:rPr>
              <w:t xml:space="preserve">during or before </w:t>
            </w:r>
            <w:r w:rsidR="00DB6731">
              <w:rPr>
                <w:sz w:val="22"/>
                <w:szCs w:val="22"/>
              </w:rPr>
              <w:t>2024</w:t>
            </w:r>
            <w:r w:rsidR="009B63EF">
              <w:rPr>
                <w:sz w:val="22"/>
                <w:szCs w:val="22"/>
              </w:rPr>
              <w:t xml:space="preserve"> MUST be included.  A</w:t>
            </w:r>
            <w:r w:rsidRPr="007F4A3A">
              <w:rPr>
                <w:b/>
                <w:sz w:val="22"/>
                <w:szCs w:val="22"/>
              </w:rPr>
              <w:t xml:space="preserve">ll forms must be submitted </w:t>
            </w:r>
            <w:r w:rsidRPr="007F4A3A">
              <w:rPr>
                <w:b/>
                <w:sz w:val="22"/>
                <w:szCs w:val="22"/>
                <w:u w:val="single"/>
              </w:rPr>
              <w:t>no later</w:t>
            </w:r>
            <w:r w:rsidRPr="007F4A3A">
              <w:rPr>
                <w:b/>
                <w:sz w:val="22"/>
                <w:szCs w:val="22"/>
              </w:rPr>
              <w:t xml:space="preserve"> than </w:t>
            </w:r>
            <w:r w:rsidR="00E91584">
              <w:rPr>
                <w:b/>
                <w:sz w:val="22"/>
                <w:szCs w:val="22"/>
              </w:rPr>
              <w:t xml:space="preserve">close of business on </w:t>
            </w:r>
            <w:r w:rsidR="008F515B">
              <w:rPr>
                <w:b/>
                <w:sz w:val="22"/>
                <w:szCs w:val="22"/>
              </w:rPr>
              <w:t>Monday</w:t>
            </w:r>
            <w:r w:rsidR="00660EE7">
              <w:rPr>
                <w:b/>
                <w:sz w:val="22"/>
                <w:szCs w:val="22"/>
              </w:rPr>
              <w:t xml:space="preserve">, </w:t>
            </w:r>
            <w:r w:rsidR="008F515B">
              <w:rPr>
                <w:b/>
                <w:sz w:val="22"/>
                <w:szCs w:val="22"/>
              </w:rPr>
              <w:t>December 2</w:t>
            </w:r>
            <w:r w:rsidR="00E91584">
              <w:rPr>
                <w:b/>
                <w:sz w:val="22"/>
                <w:szCs w:val="22"/>
              </w:rPr>
              <w:t xml:space="preserve">, </w:t>
            </w:r>
            <w:r w:rsidR="00DB6731">
              <w:rPr>
                <w:b/>
                <w:sz w:val="22"/>
                <w:szCs w:val="22"/>
              </w:rPr>
              <w:t>2024</w:t>
            </w:r>
            <w:r w:rsidR="005F6815">
              <w:rPr>
                <w:b/>
                <w:sz w:val="22"/>
                <w:szCs w:val="22"/>
              </w:rPr>
              <w:t>.</w:t>
            </w:r>
            <w:r w:rsidR="008805F5">
              <w:rPr>
                <w:b/>
                <w:sz w:val="22"/>
                <w:szCs w:val="22"/>
              </w:rPr>
              <w:t xml:space="preserve"> </w:t>
            </w:r>
          </w:p>
        </w:tc>
      </w:tr>
    </w:tbl>
    <w:p w14:paraId="7F060003" w14:textId="77777777" w:rsidR="004D35C8" w:rsidRDefault="004D35C8" w:rsidP="004D35C8">
      <w:pPr>
        <w:pStyle w:val="BlockLine"/>
        <w:ind w:left="1350"/>
        <w:rPr>
          <w:sz w:val="16"/>
          <w:szCs w:val="16"/>
        </w:rPr>
      </w:pPr>
    </w:p>
    <w:tbl>
      <w:tblPr>
        <w:tblW w:w="10915" w:type="dxa"/>
        <w:tblLayout w:type="fixed"/>
        <w:tblCellMar>
          <w:left w:w="115" w:type="dxa"/>
          <w:right w:w="115" w:type="dxa"/>
        </w:tblCellMar>
        <w:tblLook w:val="0000" w:firstRow="0" w:lastRow="0" w:firstColumn="0" w:lastColumn="0" w:noHBand="0" w:noVBand="0"/>
      </w:tblPr>
      <w:tblGrid>
        <w:gridCol w:w="1735"/>
        <w:gridCol w:w="9180"/>
      </w:tblGrid>
      <w:tr w:rsidR="004D35C8" w:rsidRPr="00AD57F0" w14:paraId="1D0373F6" w14:textId="77777777" w:rsidTr="006C52CC">
        <w:trPr>
          <w:cantSplit/>
        </w:trPr>
        <w:tc>
          <w:tcPr>
            <w:tcW w:w="1735" w:type="dxa"/>
          </w:tcPr>
          <w:p w14:paraId="243B6608" w14:textId="77777777" w:rsidR="004D35C8" w:rsidRPr="007F4A3A" w:rsidRDefault="004D35C8" w:rsidP="006C52CC">
            <w:pPr>
              <w:shd w:val="clear" w:color="auto" w:fill="FFFFFF"/>
              <w:spacing w:before="100" w:beforeAutospacing="1" w:after="100" w:afterAutospacing="1" w:line="210" w:lineRule="atLeast"/>
              <w:rPr>
                <w:rFonts w:ascii="Times New Roman Bold" w:hAnsi="Times New Roman Bold" w:cs="Arial"/>
                <w:b/>
                <w:color w:val="000000"/>
                <w:sz w:val="22"/>
                <w:szCs w:val="22"/>
              </w:rPr>
            </w:pPr>
            <w:r w:rsidRPr="007F4A3A">
              <w:rPr>
                <w:rFonts w:ascii="Times New Roman Bold" w:hAnsi="Times New Roman Bold" w:cs="Arial"/>
                <w:b/>
                <w:bCs/>
                <w:color w:val="000000"/>
                <w:sz w:val="22"/>
                <w:szCs w:val="22"/>
              </w:rPr>
              <w:t>Example</w:t>
            </w:r>
          </w:p>
          <w:p w14:paraId="15C60CF6" w14:textId="77777777" w:rsidR="004D35C8" w:rsidRPr="007F4A3A" w:rsidRDefault="004D35C8" w:rsidP="006C52CC">
            <w:pPr>
              <w:pStyle w:val="Heading5"/>
              <w:rPr>
                <w:b w:val="0"/>
                <w:szCs w:val="22"/>
              </w:rPr>
            </w:pPr>
          </w:p>
        </w:tc>
        <w:tc>
          <w:tcPr>
            <w:tcW w:w="9180" w:type="dxa"/>
          </w:tcPr>
          <w:p w14:paraId="69EBFADA" w14:textId="6DBD0ABB" w:rsidR="004D35C8" w:rsidRPr="007F4A3A" w:rsidRDefault="004D35C8" w:rsidP="00A15EC4">
            <w:pPr>
              <w:rPr>
                <w:sz w:val="22"/>
                <w:szCs w:val="22"/>
              </w:rPr>
            </w:pPr>
            <w:r w:rsidRPr="007F4A3A">
              <w:rPr>
                <w:rFonts w:cs="Arial"/>
                <w:color w:val="000000"/>
                <w:sz w:val="22"/>
                <w:szCs w:val="22"/>
              </w:rPr>
              <w:t xml:space="preserve">Tom retired in May </w:t>
            </w:r>
            <w:r w:rsidR="00FD48CA">
              <w:rPr>
                <w:rFonts w:cs="Arial"/>
                <w:color w:val="000000"/>
                <w:sz w:val="22"/>
                <w:szCs w:val="22"/>
              </w:rPr>
              <w:t>202</w:t>
            </w:r>
            <w:r w:rsidR="002B69F8">
              <w:rPr>
                <w:rFonts w:cs="Arial"/>
                <w:color w:val="000000"/>
                <w:sz w:val="22"/>
                <w:szCs w:val="22"/>
              </w:rPr>
              <w:t>2</w:t>
            </w:r>
            <w:r w:rsidRPr="007F4A3A">
              <w:rPr>
                <w:rFonts w:cs="Arial"/>
                <w:color w:val="000000"/>
                <w:sz w:val="22"/>
                <w:szCs w:val="22"/>
              </w:rPr>
              <w:t xml:space="preserve">, after 23 years of service with one of Virginia’s community colleges.  When Tom was hired, he chose to participate in one of the optional retirement plans offered to Higher Ed employees instead of the traditional retirement plan through VRS.  At retirement, Tom’s annual salary was $75,000.  Because Tom is 53 and has over 10 years of state service, he continues to be covered after his retirement by group-term life insurance at twice his annual salary ($150,000).  Tom’s W-2 must include a total of $276.00 in his wages as imputed life for the calendar year of </w:t>
            </w:r>
            <w:r w:rsidR="00DB6731">
              <w:rPr>
                <w:rFonts w:cs="Arial"/>
                <w:color w:val="000000"/>
                <w:sz w:val="22"/>
                <w:szCs w:val="22"/>
              </w:rPr>
              <w:t>2024</w:t>
            </w:r>
            <w:r w:rsidRPr="007F4A3A">
              <w:rPr>
                <w:rFonts w:cs="Arial"/>
                <w:color w:val="000000"/>
                <w:sz w:val="22"/>
                <w:szCs w:val="22"/>
              </w:rPr>
              <w:t xml:space="preserve">.  The community college prepares the “Post Retirement Life Insurance Calculation” and </w:t>
            </w:r>
            <w:r w:rsidR="00D70B59">
              <w:rPr>
                <w:rFonts w:cs="Arial"/>
                <w:color w:val="000000"/>
                <w:sz w:val="22"/>
                <w:szCs w:val="22"/>
              </w:rPr>
              <w:t xml:space="preserve">submits </w:t>
            </w:r>
            <w:r w:rsidRPr="007F4A3A">
              <w:rPr>
                <w:rFonts w:cs="Arial"/>
                <w:color w:val="000000"/>
                <w:sz w:val="22"/>
                <w:szCs w:val="22"/>
              </w:rPr>
              <w:t xml:space="preserve">a copy to </w:t>
            </w:r>
            <w:r w:rsidR="002C463C">
              <w:rPr>
                <w:rFonts w:cs="Arial"/>
                <w:color w:val="000000"/>
                <w:sz w:val="22"/>
                <w:szCs w:val="22"/>
              </w:rPr>
              <w:t>the Paysheet and Off Cycle Request folder in SPO SharePoint.</w:t>
            </w:r>
            <w:r w:rsidRPr="007F4A3A">
              <w:rPr>
                <w:rFonts w:cs="Arial"/>
                <w:color w:val="000000"/>
                <w:sz w:val="22"/>
                <w:szCs w:val="22"/>
              </w:rPr>
              <w:t xml:space="preserve">  DOA compares the YTD amount in </w:t>
            </w:r>
            <w:r w:rsidR="00A50DED">
              <w:rPr>
                <w:rFonts w:cs="Arial"/>
                <w:color w:val="000000"/>
                <w:sz w:val="22"/>
                <w:szCs w:val="22"/>
              </w:rPr>
              <w:t>HCM</w:t>
            </w:r>
            <w:r w:rsidRPr="007F4A3A">
              <w:rPr>
                <w:rFonts w:cs="Arial"/>
                <w:color w:val="000000"/>
                <w:sz w:val="22"/>
                <w:szCs w:val="22"/>
              </w:rPr>
              <w:t xml:space="preserve"> to the amount reported on the spreadsheet and makes the necessary adjustments.  Tom’s W-2 will include uncollected FICA amounts in boxes M and N; however, the community college portion of FICA will be paid to the IRS. </w:t>
            </w:r>
          </w:p>
        </w:tc>
      </w:tr>
    </w:tbl>
    <w:p w14:paraId="28845406" w14:textId="77777777" w:rsidR="00610395" w:rsidRDefault="00610395" w:rsidP="00610395">
      <w:pPr>
        <w:pStyle w:val="BlockLine"/>
        <w:ind w:left="1350"/>
        <w:rPr>
          <w:sz w:val="16"/>
          <w:szCs w:val="16"/>
        </w:rPr>
      </w:pPr>
    </w:p>
    <w:tbl>
      <w:tblPr>
        <w:tblW w:w="10800" w:type="dxa"/>
        <w:tblInd w:w="108" w:type="dxa"/>
        <w:tblLayout w:type="fixed"/>
        <w:tblLook w:val="0000" w:firstRow="0" w:lastRow="0" w:firstColumn="0" w:lastColumn="0" w:noHBand="0" w:noVBand="0"/>
      </w:tblPr>
      <w:tblGrid>
        <w:gridCol w:w="1620"/>
        <w:gridCol w:w="9180"/>
      </w:tblGrid>
      <w:tr w:rsidR="00610395" w:rsidRPr="007F4A3A" w14:paraId="6437B8A0" w14:textId="77777777" w:rsidTr="006E62CA">
        <w:trPr>
          <w:cantSplit/>
        </w:trPr>
        <w:tc>
          <w:tcPr>
            <w:tcW w:w="1620" w:type="dxa"/>
          </w:tcPr>
          <w:p w14:paraId="779831BC" w14:textId="77777777" w:rsidR="00610395" w:rsidRPr="007F4A3A" w:rsidRDefault="00610395" w:rsidP="006E62CA">
            <w:pPr>
              <w:pStyle w:val="Heading5"/>
              <w:rPr>
                <w:rFonts w:ascii="Times New Roman Bold" w:hAnsi="Times New Roman Bold"/>
                <w:szCs w:val="22"/>
              </w:rPr>
            </w:pPr>
            <w:r w:rsidRPr="007F4A3A">
              <w:rPr>
                <w:rFonts w:ascii="Times New Roman Bold" w:hAnsi="Times New Roman Bold"/>
                <w:szCs w:val="22"/>
              </w:rPr>
              <w:t>Payment to IRS</w:t>
            </w:r>
          </w:p>
        </w:tc>
        <w:tc>
          <w:tcPr>
            <w:tcW w:w="9180" w:type="dxa"/>
          </w:tcPr>
          <w:p w14:paraId="24B8E50C" w14:textId="51ACE667" w:rsidR="00610395" w:rsidRPr="007F4A3A" w:rsidRDefault="00610395" w:rsidP="006E62CA">
            <w:pPr>
              <w:rPr>
                <w:b/>
                <w:sz w:val="22"/>
                <w:szCs w:val="22"/>
              </w:rPr>
            </w:pPr>
            <w:r w:rsidRPr="007F4A3A">
              <w:rPr>
                <w:sz w:val="22"/>
                <w:szCs w:val="22"/>
              </w:rPr>
              <w:t xml:space="preserve">DOA will make the federal tax deposit for the employer portion of the OASDI and HI taxes </w:t>
            </w:r>
            <w:r w:rsidR="00A50DED">
              <w:rPr>
                <w:sz w:val="22"/>
                <w:szCs w:val="22"/>
              </w:rPr>
              <w:t>with taxes due for pay date 12/16</w:t>
            </w:r>
            <w:r w:rsidRPr="007F4A3A">
              <w:rPr>
                <w:sz w:val="22"/>
                <w:szCs w:val="22"/>
              </w:rPr>
              <w:t>.  Former employees will be responsible for the employee portion when they file their income tax returns.</w:t>
            </w:r>
          </w:p>
        </w:tc>
      </w:tr>
    </w:tbl>
    <w:p w14:paraId="48B2C5F7" w14:textId="77777777" w:rsidR="009731DB" w:rsidRDefault="009731DB" w:rsidP="009731DB">
      <w:pPr>
        <w:pStyle w:val="BlockLine"/>
        <w:ind w:left="1350"/>
        <w:rPr>
          <w:sz w:val="22"/>
          <w:szCs w:val="22"/>
        </w:rPr>
      </w:pPr>
    </w:p>
    <w:p w14:paraId="0D1927CA" w14:textId="77777777" w:rsidR="00DA0C03" w:rsidRDefault="00DA0C03" w:rsidP="00DA0C03"/>
    <w:p w14:paraId="19181DA4" w14:textId="77777777" w:rsidR="00DA0C03" w:rsidRDefault="00DA0C03" w:rsidP="00DA0C03"/>
    <w:p w14:paraId="4D35EB54" w14:textId="77777777" w:rsidR="00DA0C03" w:rsidRDefault="00DA0C03" w:rsidP="00DA0C03"/>
    <w:p w14:paraId="2891CBAF" w14:textId="77777777" w:rsidR="00DA0C03" w:rsidRDefault="00DA0C03" w:rsidP="00DA0C03"/>
    <w:p w14:paraId="7C3FCE10" w14:textId="77777777" w:rsidR="00DA0C03" w:rsidRDefault="00DA0C03" w:rsidP="00DA0C03"/>
    <w:p w14:paraId="36D145AE" w14:textId="77777777" w:rsidR="00DA0C03" w:rsidRDefault="00DA0C03" w:rsidP="00DA0C03"/>
    <w:p w14:paraId="156B0672" w14:textId="77777777" w:rsidR="00DA0C03" w:rsidRDefault="00DA0C03" w:rsidP="00DA0C03"/>
    <w:p w14:paraId="45E2FBE9" w14:textId="77777777" w:rsidR="00DA0C03" w:rsidRDefault="00DA0C03" w:rsidP="00DA0C03"/>
    <w:p w14:paraId="2FE6F1D6" w14:textId="77777777" w:rsidR="00DA0C03" w:rsidRDefault="00DA0C03" w:rsidP="00DA0C03"/>
    <w:p w14:paraId="49D87090" w14:textId="77777777" w:rsidR="00DA0C03" w:rsidRDefault="00DA0C03" w:rsidP="00DA0C03"/>
    <w:sectPr w:rsidR="00DA0C03" w:rsidSect="00ED198D">
      <w:headerReference w:type="default" r:id="rId12"/>
      <w:pgSz w:w="12240" w:h="15840" w:code="1"/>
      <w:pgMar w:top="810" w:right="720" w:bottom="540" w:left="720" w:header="288" w:footer="8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AD80A2" w14:textId="77777777" w:rsidR="00936E98" w:rsidRDefault="00936E98" w:rsidP="007C617C">
      <w:pPr>
        <w:pStyle w:val="TableText"/>
      </w:pPr>
      <w:r>
        <w:separator/>
      </w:r>
    </w:p>
  </w:endnote>
  <w:endnote w:type="continuationSeparator" w:id="0">
    <w:p w14:paraId="48ABB938" w14:textId="77777777" w:rsidR="00936E98" w:rsidRDefault="00936E98" w:rsidP="007C617C">
      <w:pPr>
        <w:pStyle w:val="Tabl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A14F2" w14:textId="77777777" w:rsidR="00936E98" w:rsidRDefault="00936E98" w:rsidP="007C617C">
      <w:pPr>
        <w:pStyle w:val="TableText"/>
      </w:pPr>
      <w:r>
        <w:separator/>
      </w:r>
    </w:p>
  </w:footnote>
  <w:footnote w:type="continuationSeparator" w:id="0">
    <w:p w14:paraId="41695812" w14:textId="77777777" w:rsidR="00936E98" w:rsidRDefault="00936E98" w:rsidP="007C617C">
      <w:pPr>
        <w:pStyle w:val="Table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000" w:firstRow="0" w:lastRow="0" w:firstColumn="0" w:lastColumn="0" w:noHBand="0" w:noVBand="0"/>
    </w:tblPr>
    <w:tblGrid>
      <w:gridCol w:w="3586"/>
      <w:gridCol w:w="3586"/>
      <w:gridCol w:w="3586"/>
    </w:tblGrid>
    <w:tr w:rsidR="00E9085A" w14:paraId="33E0B6B6" w14:textId="77777777" w:rsidTr="00B54FD4">
      <w:trPr>
        <w:cantSplit/>
        <w:trHeight w:val="269"/>
      </w:trPr>
      <w:tc>
        <w:tcPr>
          <w:tcW w:w="3586" w:type="dxa"/>
          <w:tcBorders>
            <w:bottom w:val="double" w:sz="6" w:space="0" w:color="auto"/>
          </w:tcBorders>
        </w:tcPr>
        <w:p w14:paraId="740FDEC6" w14:textId="0D87DA70" w:rsidR="00E9085A" w:rsidRDefault="005D22F2" w:rsidP="009D3D09">
          <w:pPr>
            <w:pStyle w:val="Header"/>
            <w:rPr>
              <w:b/>
              <w:sz w:val="20"/>
            </w:rPr>
          </w:pPr>
          <w:r>
            <w:rPr>
              <w:b/>
              <w:sz w:val="20"/>
            </w:rPr>
            <w:t>2</w:t>
          </w:r>
          <w:r w:rsidR="00E9085A">
            <w:rPr>
              <w:b/>
              <w:sz w:val="20"/>
            </w:rPr>
            <w:t xml:space="preserve">alendar Year </w:t>
          </w:r>
          <w:r w:rsidR="00DB6731">
            <w:rPr>
              <w:b/>
              <w:sz w:val="20"/>
            </w:rPr>
            <w:t>2024</w:t>
          </w:r>
        </w:p>
      </w:tc>
      <w:tc>
        <w:tcPr>
          <w:tcW w:w="3586" w:type="dxa"/>
          <w:tcBorders>
            <w:bottom w:val="double" w:sz="6" w:space="0" w:color="auto"/>
          </w:tcBorders>
        </w:tcPr>
        <w:p w14:paraId="1FE23CB4" w14:textId="6D29BB9C" w:rsidR="00E9085A" w:rsidRDefault="00C301AE" w:rsidP="009D3D09">
          <w:pPr>
            <w:pStyle w:val="Header"/>
            <w:jc w:val="center"/>
            <w:rPr>
              <w:b/>
              <w:sz w:val="20"/>
            </w:rPr>
          </w:pPr>
          <w:r>
            <w:rPr>
              <w:b/>
              <w:sz w:val="20"/>
            </w:rPr>
            <w:t xml:space="preserve">November </w:t>
          </w:r>
          <w:r w:rsidR="004309E8">
            <w:rPr>
              <w:b/>
              <w:sz w:val="20"/>
            </w:rPr>
            <w:t>15</w:t>
          </w:r>
          <w:r>
            <w:rPr>
              <w:b/>
              <w:sz w:val="20"/>
            </w:rPr>
            <w:t xml:space="preserve">, </w:t>
          </w:r>
          <w:r w:rsidR="00DB6731">
            <w:rPr>
              <w:b/>
              <w:sz w:val="20"/>
            </w:rPr>
            <w:t>2024</w:t>
          </w:r>
        </w:p>
      </w:tc>
      <w:tc>
        <w:tcPr>
          <w:tcW w:w="3586" w:type="dxa"/>
          <w:tcBorders>
            <w:bottom w:val="double" w:sz="6" w:space="0" w:color="auto"/>
          </w:tcBorders>
        </w:tcPr>
        <w:p w14:paraId="453F9916" w14:textId="6831C2E4" w:rsidR="00E9085A" w:rsidRDefault="00E9085A" w:rsidP="009D3D09">
          <w:pPr>
            <w:pStyle w:val="Header"/>
            <w:jc w:val="right"/>
            <w:rPr>
              <w:b/>
              <w:sz w:val="20"/>
            </w:rPr>
          </w:pPr>
          <w:r>
            <w:rPr>
              <w:b/>
              <w:sz w:val="20"/>
            </w:rPr>
            <w:t xml:space="preserve">Volume </w:t>
          </w:r>
          <w:r w:rsidR="00DB6731">
            <w:rPr>
              <w:b/>
              <w:sz w:val="20"/>
            </w:rPr>
            <w:t>2024</w:t>
          </w:r>
          <w:r>
            <w:rPr>
              <w:b/>
              <w:sz w:val="20"/>
            </w:rPr>
            <w:t>-</w:t>
          </w:r>
          <w:r w:rsidR="004309E8">
            <w:rPr>
              <w:b/>
              <w:sz w:val="20"/>
            </w:rPr>
            <w:t>1</w:t>
          </w:r>
          <w:r w:rsidR="005D22F2">
            <w:rPr>
              <w:b/>
              <w:sz w:val="20"/>
            </w:rPr>
            <w:t>2</w:t>
          </w:r>
        </w:p>
      </w:tc>
    </w:tr>
  </w:tbl>
  <w:p w14:paraId="4ECE362A" w14:textId="77777777" w:rsidR="00E9085A" w:rsidRPr="00E9085A" w:rsidRDefault="00E9085A" w:rsidP="00E9085A">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316FF"/>
    <w:multiLevelType w:val="hybridMultilevel"/>
    <w:tmpl w:val="BA40E070"/>
    <w:lvl w:ilvl="0" w:tplc="A8E6F90C">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D4682B"/>
    <w:multiLevelType w:val="hybridMultilevel"/>
    <w:tmpl w:val="2FC401A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 w15:restartNumberingAfterBreak="0">
    <w:nsid w:val="21AC08F3"/>
    <w:multiLevelType w:val="hybridMultilevel"/>
    <w:tmpl w:val="0000717A"/>
    <w:lvl w:ilvl="0" w:tplc="550AB4C4">
      <w:start w:val="1"/>
      <w:numFmt w:val="lowerLetter"/>
      <w:lvlText w:val="%1."/>
      <w:lvlJc w:val="left"/>
      <w:pPr>
        <w:tabs>
          <w:tab w:val="num" w:pos="1062"/>
        </w:tabs>
        <w:ind w:left="1062"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F339F0"/>
    <w:multiLevelType w:val="hybridMultilevel"/>
    <w:tmpl w:val="F258E2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42D47550"/>
    <w:multiLevelType w:val="hybridMultilevel"/>
    <w:tmpl w:val="46964AE2"/>
    <w:lvl w:ilvl="0" w:tplc="550AB4C4">
      <w:start w:val="1"/>
      <w:numFmt w:val="lowerLetter"/>
      <w:lvlText w:val="%1."/>
      <w:lvlJc w:val="left"/>
      <w:pPr>
        <w:tabs>
          <w:tab w:val="num" w:pos="1062"/>
        </w:tabs>
        <w:ind w:left="1062" w:hanging="360"/>
      </w:pPr>
      <w:rPr>
        <w:rFonts w:hint="default"/>
        <w:b/>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5" w15:restartNumberingAfterBreak="0">
    <w:nsid w:val="451F0643"/>
    <w:multiLevelType w:val="hybridMultilevel"/>
    <w:tmpl w:val="804A311E"/>
    <w:lvl w:ilvl="0" w:tplc="0409000F">
      <w:start w:val="1"/>
      <w:numFmt w:val="decimal"/>
      <w:lvlText w:val="%1."/>
      <w:lvlJc w:val="left"/>
      <w:pPr>
        <w:tabs>
          <w:tab w:val="num" w:pos="1062"/>
        </w:tabs>
        <w:ind w:left="1062" w:hanging="360"/>
      </w:pPr>
      <w:rPr>
        <w:rFonts w:hint="default"/>
        <w:sz w:val="22"/>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6" w15:restartNumberingAfterBreak="0">
    <w:nsid w:val="524322CE"/>
    <w:multiLevelType w:val="hybridMultilevel"/>
    <w:tmpl w:val="B7E69A60"/>
    <w:lvl w:ilvl="0" w:tplc="0409000D">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5EC62250"/>
    <w:multiLevelType w:val="hybridMultilevel"/>
    <w:tmpl w:val="432C5BC6"/>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8" w15:restartNumberingAfterBreak="0">
    <w:nsid w:val="64420E8C"/>
    <w:multiLevelType w:val="hybridMultilevel"/>
    <w:tmpl w:val="79D6A4F0"/>
    <w:lvl w:ilvl="0" w:tplc="04090001">
      <w:start w:val="1"/>
      <w:numFmt w:val="bullet"/>
      <w:lvlText w:val=""/>
      <w:lvlJc w:val="left"/>
      <w:pPr>
        <w:ind w:left="1422" w:hanging="360"/>
      </w:pPr>
      <w:rPr>
        <w:rFonts w:ascii="Symbol" w:hAnsi="Symbo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9" w15:restartNumberingAfterBreak="0">
    <w:nsid w:val="786508FD"/>
    <w:multiLevelType w:val="hybridMultilevel"/>
    <w:tmpl w:val="BFC20CD6"/>
    <w:lvl w:ilvl="0" w:tplc="37787FE4">
      <w:start w:val="1"/>
      <w:numFmt w:val="decimal"/>
      <w:lvlText w:val="%1."/>
      <w:lvlJc w:val="left"/>
      <w:pPr>
        <w:tabs>
          <w:tab w:val="num" w:pos="522"/>
        </w:tabs>
        <w:ind w:left="52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620378678">
    <w:abstractNumId w:val="6"/>
  </w:num>
  <w:num w:numId="2" w16cid:durableId="18481933">
    <w:abstractNumId w:val="7"/>
  </w:num>
  <w:num w:numId="3" w16cid:durableId="541942082">
    <w:abstractNumId w:val="0"/>
  </w:num>
  <w:num w:numId="4" w16cid:durableId="13560310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060521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1877833">
    <w:abstractNumId w:val="9"/>
  </w:num>
  <w:num w:numId="7" w16cid:durableId="524296749">
    <w:abstractNumId w:val="8"/>
  </w:num>
  <w:num w:numId="8" w16cid:durableId="2092773448">
    <w:abstractNumId w:val="1"/>
  </w:num>
  <w:num w:numId="9" w16cid:durableId="1301572545">
    <w:abstractNumId w:val="5"/>
  </w:num>
  <w:num w:numId="10" w16cid:durableId="1241528268">
    <w:abstractNumId w:val="4"/>
  </w:num>
  <w:num w:numId="11" w16cid:durableId="31988727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activeWritingStyle w:appName="MSWord" w:lang="en-US" w:vendorID="64" w:dllVersion="6" w:nlCheck="1" w:checkStyle="1"/>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E54"/>
    <w:rsid w:val="000009B2"/>
    <w:rsid w:val="000013D1"/>
    <w:rsid w:val="00004CD3"/>
    <w:rsid w:val="00004DB9"/>
    <w:rsid w:val="000061FB"/>
    <w:rsid w:val="0001012E"/>
    <w:rsid w:val="000119A4"/>
    <w:rsid w:val="000121C0"/>
    <w:rsid w:val="00012558"/>
    <w:rsid w:val="00013C03"/>
    <w:rsid w:val="000154AE"/>
    <w:rsid w:val="00016EE3"/>
    <w:rsid w:val="0001760B"/>
    <w:rsid w:val="00024A4F"/>
    <w:rsid w:val="00024E2C"/>
    <w:rsid w:val="00031C2F"/>
    <w:rsid w:val="000325BD"/>
    <w:rsid w:val="00033078"/>
    <w:rsid w:val="000343C1"/>
    <w:rsid w:val="00034A69"/>
    <w:rsid w:val="00034ABB"/>
    <w:rsid w:val="00042CC3"/>
    <w:rsid w:val="00042CF3"/>
    <w:rsid w:val="00043092"/>
    <w:rsid w:val="00043C21"/>
    <w:rsid w:val="00045461"/>
    <w:rsid w:val="00045DFE"/>
    <w:rsid w:val="00046520"/>
    <w:rsid w:val="00046661"/>
    <w:rsid w:val="0005668B"/>
    <w:rsid w:val="00056D6A"/>
    <w:rsid w:val="000572AA"/>
    <w:rsid w:val="000575E6"/>
    <w:rsid w:val="00062288"/>
    <w:rsid w:val="00064C2F"/>
    <w:rsid w:val="00070655"/>
    <w:rsid w:val="000736C4"/>
    <w:rsid w:val="00073D12"/>
    <w:rsid w:val="00074937"/>
    <w:rsid w:val="0007613B"/>
    <w:rsid w:val="00076F0B"/>
    <w:rsid w:val="00077F2A"/>
    <w:rsid w:val="000808ED"/>
    <w:rsid w:val="00081C70"/>
    <w:rsid w:val="0008335C"/>
    <w:rsid w:val="00085AA5"/>
    <w:rsid w:val="00086DA9"/>
    <w:rsid w:val="00086DEB"/>
    <w:rsid w:val="00087B54"/>
    <w:rsid w:val="00094305"/>
    <w:rsid w:val="000961E6"/>
    <w:rsid w:val="000A1B5C"/>
    <w:rsid w:val="000A5008"/>
    <w:rsid w:val="000A6AB4"/>
    <w:rsid w:val="000A7A20"/>
    <w:rsid w:val="000B0BE5"/>
    <w:rsid w:val="000B3A75"/>
    <w:rsid w:val="000B46F3"/>
    <w:rsid w:val="000B705E"/>
    <w:rsid w:val="000C1CD3"/>
    <w:rsid w:val="000C2299"/>
    <w:rsid w:val="000C4112"/>
    <w:rsid w:val="000C44E0"/>
    <w:rsid w:val="000C62B0"/>
    <w:rsid w:val="000C67E6"/>
    <w:rsid w:val="000C7D97"/>
    <w:rsid w:val="000D1733"/>
    <w:rsid w:val="000D2A08"/>
    <w:rsid w:val="000D2CE5"/>
    <w:rsid w:val="000D3410"/>
    <w:rsid w:val="000D3694"/>
    <w:rsid w:val="000D4600"/>
    <w:rsid w:val="000D666D"/>
    <w:rsid w:val="000E1869"/>
    <w:rsid w:val="000E2732"/>
    <w:rsid w:val="000E3103"/>
    <w:rsid w:val="000E3A25"/>
    <w:rsid w:val="000E3FFB"/>
    <w:rsid w:val="000E404F"/>
    <w:rsid w:val="000E537F"/>
    <w:rsid w:val="000E5838"/>
    <w:rsid w:val="000E6AA2"/>
    <w:rsid w:val="000E7A16"/>
    <w:rsid w:val="000E7D70"/>
    <w:rsid w:val="000F0993"/>
    <w:rsid w:val="000F0E14"/>
    <w:rsid w:val="000F187B"/>
    <w:rsid w:val="000F22DC"/>
    <w:rsid w:val="000F2B22"/>
    <w:rsid w:val="000F3101"/>
    <w:rsid w:val="000F7059"/>
    <w:rsid w:val="000F7EA6"/>
    <w:rsid w:val="00100D13"/>
    <w:rsid w:val="0010193A"/>
    <w:rsid w:val="00115C5B"/>
    <w:rsid w:val="00117B7F"/>
    <w:rsid w:val="00121380"/>
    <w:rsid w:val="0012199B"/>
    <w:rsid w:val="001219C0"/>
    <w:rsid w:val="00123E43"/>
    <w:rsid w:val="001250AB"/>
    <w:rsid w:val="00131DF6"/>
    <w:rsid w:val="001351EE"/>
    <w:rsid w:val="00135F2B"/>
    <w:rsid w:val="00136A70"/>
    <w:rsid w:val="00141255"/>
    <w:rsid w:val="001418A6"/>
    <w:rsid w:val="00141BFF"/>
    <w:rsid w:val="001470B2"/>
    <w:rsid w:val="00150108"/>
    <w:rsid w:val="001514CE"/>
    <w:rsid w:val="00151D7E"/>
    <w:rsid w:val="001522AD"/>
    <w:rsid w:val="001524A6"/>
    <w:rsid w:val="001532E5"/>
    <w:rsid w:val="00156C2F"/>
    <w:rsid w:val="00162130"/>
    <w:rsid w:val="0016577E"/>
    <w:rsid w:val="001661AD"/>
    <w:rsid w:val="00170319"/>
    <w:rsid w:val="00170449"/>
    <w:rsid w:val="00170526"/>
    <w:rsid w:val="00170DCB"/>
    <w:rsid w:val="001711AD"/>
    <w:rsid w:val="00172018"/>
    <w:rsid w:val="00173D28"/>
    <w:rsid w:val="001758B4"/>
    <w:rsid w:val="00177CAF"/>
    <w:rsid w:val="00177D26"/>
    <w:rsid w:val="0018004A"/>
    <w:rsid w:val="00180B5E"/>
    <w:rsid w:val="0018670A"/>
    <w:rsid w:val="00192385"/>
    <w:rsid w:val="00195CCC"/>
    <w:rsid w:val="00196700"/>
    <w:rsid w:val="00196BB8"/>
    <w:rsid w:val="0019734E"/>
    <w:rsid w:val="001976CC"/>
    <w:rsid w:val="001A35B8"/>
    <w:rsid w:val="001A3A6D"/>
    <w:rsid w:val="001B06CA"/>
    <w:rsid w:val="001B07C1"/>
    <w:rsid w:val="001B0F48"/>
    <w:rsid w:val="001B2C5C"/>
    <w:rsid w:val="001B322E"/>
    <w:rsid w:val="001B3A21"/>
    <w:rsid w:val="001B5A65"/>
    <w:rsid w:val="001B5FF8"/>
    <w:rsid w:val="001C63B7"/>
    <w:rsid w:val="001D13F4"/>
    <w:rsid w:val="001D3036"/>
    <w:rsid w:val="001D4288"/>
    <w:rsid w:val="001D51E9"/>
    <w:rsid w:val="001D5D8F"/>
    <w:rsid w:val="001D7310"/>
    <w:rsid w:val="001D7553"/>
    <w:rsid w:val="001E2A7B"/>
    <w:rsid w:val="001E2CFE"/>
    <w:rsid w:val="001E489F"/>
    <w:rsid w:val="001E5787"/>
    <w:rsid w:val="001E6E76"/>
    <w:rsid w:val="001F05AB"/>
    <w:rsid w:val="001F0A04"/>
    <w:rsid w:val="001F0A73"/>
    <w:rsid w:val="001F0EC9"/>
    <w:rsid w:val="001F166C"/>
    <w:rsid w:val="001F231B"/>
    <w:rsid w:val="001F58EC"/>
    <w:rsid w:val="00200C55"/>
    <w:rsid w:val="00203860"/>
    <w:rsid w:val="0020718C"/>
    <w:rsid w:val="0021069C"/>
    <w:rsid w:val="00214A28"/>
    <w:rsid w:val="00216B11"/>
    <w:rsid w:val="00216D6B"/>
    <w:rsid w:val="0022044F"/>
    <w:rsid w:val="00221021"/>
    <w:rsid w:val="002215EE"/>
    <w:rsid w:val="002225D4"/>
    <w:rsid w:val="0022353A"/>
    <w:rsid w:val="00224527"/>
    <w:rsid w:val="002276C7"/>
    <w:rsid w:val="00230837"/>
    <w:rsid w:val="00230A49"/>
    <w:rsid w:val="00233935"/>
    <w:rsid w:val="0024126B"/>
    <w:rsid w:val="002412F8"/>
    <w:rsid w:val="0024180D"/>
    <w:rsid w:val="00241CC5"/>
    <w:rsid w:val="00244D87"/>
    <w:rsid w:val="00245357"/>
    <w:rsid w:val="00245C08"/>
    <w:rsid w:val="00246ADD"/>
    <w:rsid w:val="002512D1"/>
    <w:rsid w:val="00251C45"/>
    <w:rsid w:val="00252C61"/>
    <w:rsid w:val="00253BB5"/>
    <w:rsid w:val="00255FBC"/>
    <w:rsid w:val="00257505"/>
    <w:rsid w:val="002616D8"/>
    <w:rsid w:val="002630B0"/>
    <w:rsid w:val="00265865"/>
    <w:rsid w:val="002677C1"/>
    <w:rsid w:val="00267C84"/>
    <w:rsid w:val="00270D38"/>
    <w:rsid w:val="0027216E"/>
    <w:rsid w:val="00272EDA"/>
    <w:rsid w:val="00273430"/>
    <w:rsid w:val="002745C9"/>
    <w:rsid w:val="00276909"/>
    <w:rsid w:val="00276B8A"/>
    <w:rsid w:val="00277293"/>
    <w:rsid w:val="002775F4"/>
    <w:rsid w:val="00280263"/>
    <w:rsid w:val="00280B76"/>
    <w:rsid w:val="00282F2D"/>
    <w:rsid w:val="00287D81"/>
    <w:rsid w:val="0029002F"/>
    <w:rsid w:val="00290528"/>
    <w:rsid w:val="00290BF1"/>
    <w:rsid w:val="00293BAE"/>
    <w:rsid w:val="00297780"/>
    <w:rsid w:val="002A0CC0"/>
    <w:rsid w:val="002A0F8D"/>
    <w:rsid w:val="002A1664"/>
    <w:rsid w:val="002A6633"/>
    <w:rsid w:val="002A67D2"/>
    <w:rsid w:val="002A6806"/>
    <w:rsid w:val="002B1921"/>
    <w:rsid w:val="002B24A6"/>
    <w:rsid w:val="002B2504"/>
    <w:rsid w:val="002B69F8"/>
    <w:rsid w:val="002C0D88"/>
    <w:rsid w:val="002C1B54"/>
    <w:rsid w:val="002C2601"/>
    <w:rsid w:val="002C3A91"/>
    <w:rsid w:val="002C463C"/>
    <w:rsid w:val="002C7B18"/>
    <w:rsid w:val="002D1662"/>
    <w:rsid w:val="002D2DAB"/>
    <w:rsid w:val="002D46F7"/>
    <w:rsid w:val="002D5501"/>
    <w:rsid w:val="002D6045"/>
    <w:rsid w:val="002E1208"/>
    <w:rsid w:val="002E3595"/>
    <w:rsid w:val="002E7806"/>
    <w:rsid w:val="002F02B0"/>
    <w:rsid w:val="002F0E27"/>
    <w:rsid w:val="002F2451"/>
    <w:rsid w:val="002F2757"/>
    <w:rsid w:val="002F6F61"/>
    <w:rsid w:val="00300217"/>
    <w:rsid w:val="00302013"/>
    <w:rsid w:val="00303AB2"/>
    <w:rsid w:val="00304474"/>
    <w:rsid w:val="0030540F"/>
    <w:rsid w:val="00305EC4"/>
    <w:rsid w:val="00311FC4"/>
    <w:rsid w:val="003164E9"/>
    <w:rsid w:val="003167D0"/>
    <w:rsid w:val="00316A4D"/>
    <w:rsid w:val="003171F3"/>
    <w:rsid w:val="003202A7"/>
    <w:rsid w:val="003208FE"/>
    <w:rsid w:val="00321146"/>
    <w:rsid w:val="0032216D"/>
    <w:rsid w:val="00323510"/>
    <w:rsid w:val="00323E81"/>
    <w:rsid w:val="003306BE"/>
    <w:rsid w:val="0033082C"/>
    <w:rsid w:val="00330D8A"/>
    <w:rsid w:val="003340ED"/>
    <w:rsid w:val="00334F86"/>
    <w:rsid w:val="003362EF"/>
    <w:rsid w:val="003369CA"/>
    <w:rsid w:val="00336C30"/>
    <w:rsid w:val="00341F6F"/>
    <w:rsid w:val="00342463"/>
    <w:rsid w:val="0034691C"/>
    <w:rsid w:val="00350663"/>
    <w:rsid w:val="0035312D"/>
    <w:rsid w:val="00353733"/>
    <w:rsid w:val="00353940"/>
    <w:rsid w:val="00354876"/>
    <w:rsid w:val="00357860"/>
    <w:rsid w:val="0036539D"/>
    <w:rsid w:val="00365D95"/>
    <w:rsid w:val="00366919"/>
    <w:rsid w:val="00366A23"/>
    <w:rsid w:val="00367AD1"/>
    <w:rsid w:val="00370336"/>
    <w:rsid w:val="00372196"/>
    <w:rsid w:val="00375835"/>
    <w:rsid w:val="00380089"/>
    <w:rsid w:val="00383B20"/>
    <w:rsid w:val="0038421C"/>
    <w:rsid w:val="00384C88"/>
    <w:rsid w:val="00384FFA"/>
    <w:rsid w:val="00386732"/>
    <w:rsid w:val="003878BE"/>
    <w:rsid w:val="00390379"/>
    <w:rsid w:val="00393AD1"/>
    <w:rsid w:val="00394137"/>
    <w:rsid w:val="003960F4"/>
    <w:rsid w:val="003975ED"/>
    <w:rsid w:val="003A1CF2"/>
    <w:rsid w:val="003A21D1"/>
    <w:rsid w:val="003A299C"/>
    <w:rsid w:val="003A3B14"/>
    <w:rsid w:val="003A53F0"/>
    <w:rsid w:val="003B0A0C"/>
    <w:rsid w:val="003B0D56"/>
    <w:rsid w:val="003B1967"/>
    <w:rsid w:val="003B1B65"/>
    <w:rsid w:val="003B75D4"/>
    <w:rsid w:val="003C08CA"/>
    <w:rsid w:val="003C6837"/>
    <w:rsid w:val="003C6D56"/>
    <w:rsid w:val="003C7961"/>
    <w:rsid w:val="003C7D9B"/>
    <w:rsid w:val="003D3F81"/>
    <w:rsid w:val="003D7282"/>
    <w:rsid w:val="003D740C"/>
    <w:rsid w:val="003E0603"/>
    <w:rsid w:val="003E08C8"/>
    <w:rsid w:val="003E2BA4"/>
    <w:rsid w:val="003E357D"/>
    <w:rsid w:val="003E4762"/>
    <w:rsid w:val="003E478A"/>
    <w:rsid w:val="003E5D10"/>
    <w:rsid w:val="003E607D"/>
    <w:rsid w:val="003E6E65"/>
    <w:rsid w:val="003F3609"/>
    <w:rsid w:val="00407DEF"/>
    <w:rsid w:val="0041050B"/>
    <w:rsid w:val="00410D89"/>
    <w:rsid w:val="00410F0D"/>
    <w:rsid w:val="004117C4"/>
    <w:rsid w:val="004145C7"/>
    <w:rsid w:val="004149BF"/>
    <w:rsid w:val="004154A2"/>
    <w:rsid w:val="00421D89"/>
    <w:rsid w:val="004242F6"/>
    <w:rsid w:val="00425258"/>
    <w:rsid w:val="00426172"/>
    <w:rsid w:val="00430294"/>
    <w:rsid w:val="004309E8"/>
    <w:rsid w:val="00432588"/>
    <w:rsid w:val="00432EEF"/>
    <w:rsid w:val="004334F0"/>
    <w:rsid w:val="00435038"/>
    <w:rsid w:val="00436684"/>
    <w:rsid w:val="004409C1"/>
    <w:rsid w:val="00444845"/>
    <w:rsid w:val="00446BBA"/>
    <w:rsid w:val="00447811"/>
    <w:rsid w:val="004507EB"/>
    <w:rsid w:val="00451980"/>
    <w:rsid w:val="00451F9A"/>
    <w:rsid w:val="00454635"/>
    <w:rsid w:val="00455D62"/>
    <w:rsid w:val="00455DC9"/>
    <w:rsid w:val="00456CD8"/>
    <w:rsid w:val="00456F7A"/>
    <w:rsid w:val="00457169"/>
    <w:rsid w:val="00462A8D"/>
    <w:rsid w:val="00463F34"/>
    <w:rsid w:val="0046402E"/>
    <w:rsid w:val="0046697B"/>
    <w:rsid w:val="00466FB2"/>
    <w:rsid w:val="0047065E"/>
    <w:rsid w:val="00470A8B"/>
    <w:rsid w:val="00472253"/>
    <w:rsid w:val="0047322A"/>
    <w:rsid w:val="004733F1"/>
    <w:rsid w:val="00480977"/>
    <w:rsid w:val="0048151B"/>
    <w:rsid w:val="00481C94"/>
    <w:rsid w:val="004917B8"/>
    <w:rsid w:val="00492FFC"/>
    <w:rsid w:val="00493E53"/>
    <w:rsid w:val="004A1066"/>
    <w:rsid w:val="004A669F"/>
    <w:rsid w:val="004A7D34"/>
    <w:rsid w:val="004B3078"/>
    <w:rsid w:val="004B44C6"/>
    <w:rsid w:val="004B4F4D"/>
    <w:rsid w:val="004B582A"/>
    <w:rsid w:val="004B6BAE"/>
    <w:rsid w:val="004C0BE5"/>
    <w:rsid w:val="004C1079"/>
    <w:rsid w:val="004C5133"/>
    <w:rsid w:val="004C52E0"/>
    <w:rsid w:val="004C7604"/>
    <w:rsid w:val="004D0CDD"/>
    <w:rsid w:val="004D29A5"/>
    <w:rsid w:val="004D35C8"/>
    <w:rsid w:val="004D612E"/>
    <w:rsid w:val="004D6951"/>
    <w:rsid w:val="004E09A6"/>
    <w:rsid w:val="004E2C96"/>
    <w:rsid w:val="004E4FEE"/>
    <w:rsid w:val="004E59D4"/>
    <w:rsid w:val="004E5D33"/>
    <w:rsid w:val="004E5DF0"/>
    <w:rsid w:val="004E5E88"/>
    <w:rsid w:val="004E5FDF"/>
    <w:rsid w:val="004F0178"/>
    <w:rsid w:val="004F36B7"/>
    <w:rsid w:val="004F42C7"/>
    <w:rsid w:val="004F5F78"/>
    <w:rsid w:val="00500BF8"/>
    <w:rsid w:val="00502289"/>
    <w:rsid w:val="005037FB"/>
    <w:rsid w:val="0050546B"/>
    <w:rsid w:val="00505570"/>
    <w:rsid w:val="00506503"/>
    <w:rsid w:val="00512590"/>
    <w:rsid w:val="00512FE1"/>
    <w:rsid w:val="00514229"/>
    <w:rsid w:val="005142FF"/>
    <w:rsid w:val="0051739C"/>
    <w:rsid w:val="00517AEE"/>
    <w:rsid w:val="005207B6"/>
    <w:rsid w:val="00522979"/>
    <w:rsid w:val="00524A2D"/>
    <w:rsid w:val="00525773"/>
    <w:rsid w:val="00526582"/>
    <w:rsid w:val="00532965"/>
    <w:rsid w:val="00533D4A"/>
    <w:rsid w:val="00534AC1"/>
    <w:rsid w:val="0053611A"/>
    <w:rsid w:val="005365BC"/>
    <w:rsid w:val="0054034D"/>
    <w:rsid w:val="005411B7"/>
    <w:rsid w:val="005430E7"/>
    <w:rsid w:val="00543BEF"/>
    <w:rsid w:val="00543D4B"/>
    <w:rsid w:val="00544C63"/>
    <w:rsid w:val="00554308"/>
    <w:rsid w:val="00554FB2"/>
    <w:rsid w:val="005563FD"/>
    <w:rsid w:val="005569F0"/>
    <w:rsid w:val="005654ED"/>
    <w:rsid w:val="00566BC7"/>
    <w:rsid w:val="00567F30"/>
    <w:rsid w:val="00573CEC"/>
    <w:rsid w:val="005746EC"/>
    <w:rsid w:val="00575E04"/>
    <w:rsid w:val="005762DB"/>
    <w:rsid w:val="00577D17"/>
    <w:rsid w:val="00580D3C"/>
    <w:rsid w:val="00583B6D"/>
    <w:rsid w:val="00583C5C"/>
    <w:rsid w:val="005917F5"/>
    <w:rsid w:val="00592699"/>
    <w:rsid w:val="005926A0"/>
    <w:rsid w:val="00592926"/>
    <w:rsid w:val="005947F0"/>
    <w:rsid w:val="005949A7"/>
    <w:rsid w:val="00594AD8"/>
    <w:rsid w:val="0059592A"/>
    <w:rsid w:val="0059785E"/>
    <w:rsid w:val="005A1006"/>
    <w:rsid w:val="005A4FDB"/>
    <w:rsid w:val="005A53B4"/>
    <w:rsid w:val="005A5737"/>
    <w:rsid w:val="005B03D8"/>
    <w:rsid w:val="005B0D7D"/>
    <w:rsid w:val="005B1674"/>
    <w:rsid w:val="005B3763"/>
    <w:rsid w:val="005B3EBA"/>
    <w:rsid w:val="005B416D"/>
    <w:rsid w:val="005B44B9"/>
    <w:rsid w:val="005B451F"/>
    <w:rsid w:val="005B7235"/>
    <w:rsid w:val="005C06FB"/>
    <w:rsid w:val="005C2EFD"/>
    <w:rsid w:val="005C64CB"/>
    <w:rsid w:val="005C6780"/>
    <w:rsid w:val="005C68B3"/>
    <w:rsid w:val="005C78BA"/>
    <w:rsid w:val="005C7BC0"/>
    <w:rsid w:val="005D0493"/>
    <w:rsid w:val="005D0E9B"/>
    <w:rsid w:val="005D1E5C"/>
    <w:rsid w:val="005D22F2"/>
    <w:rsid w:val="005D4BDD"/>
    <w:rsid w:val="005D4E42"/>
    <w:rsid w:val="005D557A"/>
    <w:rsid w:val="005D688B"/>
    <w:rsid w:val="005D7A0C"/>
    <w:rsid w:val="005E5112"/>
    <w:rsid w:val="005E615D"/>
    <w:rsid w:val="005E63F0"/>
    <w:rsid w:val="005E6D2B"/>
    <w:rsid w:val="005E6F77"/>
    <w:rsid w:val="005E78B4"/>
    <w:rsid w:val="005E7933"/>
    <w:rsid w:val="005F3AC9"/>
    <w:rsid w:val="005F6815"/>
    <w:rsid w:val="005F7750"/>
    <w:rsid w:val="00602FB5"/>
    <w:rsid w:val="006039B5"/>
    <w:rsid w:val="00603F09"/>
    <w:rsid w:val="006048EC"/>
    <w:rsid w:val="006057A4"/>
    <w:rsid w:val="00605F55"/>
    <w:rsid w:val="006060E3"/>
    <w:rsid w:val="00606AA5"/>
    <w:rsid w:val="006070FB"/>
    <w:rsid w:val="00607472"/>
    <w:rsid w:val="00607A94"/>
    <w:rsid w:val="00610395"/>
    <w:rsid w:val="00614560"/>
    <w:rsid w:val="00622B95"/>
    <w:rsid w:val="0062309A"/>
    <w:rsid w:val="00623308"/>
    <w:rsid w:val="006249C5"/>
    <w:rsid w:val="00625D73"/>
    <w:rsid w:val="00627406"/>
    <w:rsid w:val="00633F5D"/>
    <w:rsid w:val="00636EB9"/>
    <w:rsid w:val="00640742"/>
    <w:rsid w:val="006410DA"/>
    <w:rsid w:val="00641D8C"/>
    <w:rsid w:val="006439F4"/>
    <w:rsid w:val="006451C5"/>
    <w:rsid w:val="00646360"/>
    <w:rsid w:val="00651786"/>
    <w:rsid w:val="00652281"/>
    <w:rsid w:val="00652918"/>
    <w:rsid w:val="00654AD9"/>
    <w:rsid w:val="0065526E"/>
    <w:rsid w:val="00657536"/>
    <w:rsid w:val="006579F0"/>
    <w:rsid w:val="0066008A"/>
    <w:rsid w:val="00660A32"/>
    <w:rsid w:val="00660EE7"/>
    <w:rsid w:val="00662DA4"/>
    <w:rsid w:val="00662DB8"/>
    <w:rsid w:val="00665620"/>
    <w:rsid w:val="00670C54"/>
    <w:rsid w:val="00670C9F"/>
    <w:rsid w:val="006713EF"/>
    <w:rsid w:val="0067212F"/>
    <w:rsid w:val="0068036A"/>
    <w:rsid w:val="006816EC"/>
    <w:rsid w:val="006842D6"/>
    <w:rsid w:val="006846BD"/>
    <w:rsid w:val="0068538E"/>
    <w:rsid w:val="00686203"/>
    <w:rsid w:val="00686F39"/>
    <w:rsid w:val="0068719F"/>
    <w:rsid w:val="00687472"/>
    <w:rsid w:val="00687DD7"/>
    <w:rsid w:val="00690E81"/>
    <w:rsid w:val="00693196"/>
    <w:rsid w:val="00695062"/>
    <w:rsid w:val="00695ACA"/>
    <w:rsid w:val="00696D54"/>
    <w:rsid w:val="00697D45"/>
    <w:rsid w:val="006A1C20"/>
    <w:rsid w:val="006A2485"/>
    <w:rsid w:val="006A2ACF"/>
    <w:rsid w:val="006A2DB4"/>
    <w:rsid w:val="006A2F4C"/>
    <w:rsid w:val="006A3177"/>
    <w:rsid w:val="006A7903"/>
    <w:rsid w:val="006A7DAB"/>
    <w:rsid w:val="006B03D9"/>
    <w:rsid w:val="006B43F3"/>
    <w:rsid w:val="006B5AE8"/>
    <w:rsid w:val="006C0F07"/>
    <w:rsid w:val="006C3C3F"/>
    <w:rsid w:val="006C52CC"/>
    <w:rsid w:val="006C6FED"/>
    <w:rsid w:val="006D03EF"/>
    <w:rsid w:val="006D189B"/>
    <w:rsid w:val="006D5EB7"/>
    <w:rsid w:val="006D6354"/>
    <w:rsid w:val="006D6527"/>
    <w:rsid w:val="006D7FB5"/>
    <w:rsid w:val="006E0CC5"/>
    <w:rsid w:val="006E2261"/>
    <w:rsid w:val="006E3051"/>
    <w:rsid w:val="006E31CE"/>
    <w:rsid w:val="006E39E2"/>
    <w:rsid w:val="006E4573"/>
    <w:rsid w:val="006E6056"/>
    <w:rsid w:val="006E607C"/>
    <w:rsid w:val="006F1E29"/>
    <w:rsid w:val="006F2520"/>
    <w:rsid w:val="00702956"/>
    <w:rsid w:val="007059AE"/>
    <w:rsid w:val="0070639D"/>
    <w:rsid w:val="00706FBF"/>
    <w:rsid w:val="00707363"/>
    <w:rsid w:val="00707445"/>
    <w:rsid w:val="00711332"/>
    <w:rsid w:val="00712686"/>
    <w:rsid w:val="00712A9A"/>
    <w:rsid w:val="00715AF0"/>
    <w:rsid w:val="00717561"/>
    <w:rsid w:val="00717BAD"/>
    <w:rsid w:val="00717C4F"/>
    <w:rsid w:val="0072052B"/>
    <w:rsid w:val="00723CC6"/>
    <w:rsid w:val="00724707"/>
    <w:rsid w:val="00727661"/>
    <w:rsid w:val="00727ECC"/>
    <w:rsid w:val="00727FE5"/>
    <w:rsid w:val="00730C32"/>
    <w:rsid w:val="007318F5"/>
    <w:rsid w:val="00731B7C"/>
    <w:rsid w:val="00734EA1"/>
    <w:rsid w:val="00735FB7"/>
    <w:rsid w:val="00741CCB"/>
    <w:rsid w:val="00742F44"/>
    <w:rsid w:val="0074507F"/>
    <w:rsid w:val="00745479"/>
    <w:rsid w:val="00745CCB"/>
    <w:rsid w:val="00751578"/>
    <w:rsid w:val="00751DFE"/>
    <w:rsid w:val="00752C5D"/>
    <w:rsid w:val="0075322A"/>
    <w:rsid w:val="007554A7"/>
    <w:rsid w:val="00756802"/>
    <w:rsid w:val="007642DD"/>
    <w:rsid w:val="007643AE"/>
    <w:rsid w:val="00766EA7"/>
    <w:rsid w:val="0077085D"/>
    <w:rsid w:val="00772164"/>
    <w:rsid w:val="0077266C"/>
    <w:rsid w:val="00780A2B"/>
    <w:rsid w:val="0078252D"/>
    <w:rsid w:val="00782A69"/>
    <w:rsid w:val="00785536"/>
    <w:rsid w:val="007937E3"/>
    <w:rsid w:val="00794E64"/>
    <w:rsid w:val="00796B08"/>
    <w:rsid w:val="00796F19"/>
    <w:rsid w:val="00796F35"/>
    <w:rsid w:val="007A0129"/>
    <w:rsid w:val="007A2EC0"/>
    <w:rsid w:val="007A3641"/>
    <w:rsid w:val="007A3887"/>
    <w:rsid w:val="007A5716"/>
    <w:rsid w:val="007A7707"/>
    <w:rsid w:val="007B4906"/>
    <w:rsid w:val="007B66D2"/>
    <w:rsid w:val="007C1FE8"/>
    <w:rsid w:val="007C3C23"/>
    <w:rsid w:val="007C4CAE"/>
    <w:rsid w:val="007C59FE"/>
    <w:rsid w:val="007C617C"/>
    <w:rsid w:val="007D2928"/>
    <w:rsid w:val="007D3A96"/>
    <w:rsid w:val="007D4CFA"/>
    <w:rsid w:val="007D7651"/>
    <w:rsid w:val="007D7B42"/>
    <w:rsid w:val="007E035E"/>
    <w:rsid w:val="007E1309"/>
    <w:rsid w:val="007E135F"/>
    <w:rsid w:val="007E18E8"/>
    <w:rsid w:val="007E3F95"/>
    <w:rsid w:val="007E4728"/>
    <w:rsid w:val="007F01E6"/>
    <w:rsid w:val="007F03A7"/>
    <w:rsid w:val="007F18DE"/>
    <w:rsid w:val="007F391B"/>
    <w:rsid w:val="007F4407"/>
    <w:rsid w:val="007F4A3A"/>
    <w:rsid w:val="008021E4"/>
    <w:rsid w:val="00803D3A"/>
    <w:rsid w:val="00804367"/>
    <w:rsid w:val="008065B7"/>
    <w:rsid w:val="00806D01"/>
    <w:rsid w:val="00807903"/>
    <w:rsid w:val="00810C80"/>
    <w:rsid w:val="00811D1B"/>
    <w:rsid w:val="00816153"/>
    <w:rsid w:val="00816FA7"/>
    <w:rsid w:val="008171AE"/>
    <w:rsid w:val="00817D0C"/>
    <w:rsid w:val="008200CD"/>
    <w:rsid w:val="0082456A"/>
    <w:rsid w:val="008261C2"/>
    <w:rsid w:val="00826CA5"/>
    <w:rsid w:val="0083216F"/>
    <w:rsid w:val="008346B9"/>
    <w:rsid w:val="00836328"/>
    <w:rsid w:val="00837097"/>
    <w:rsid w:val="0083745B"/>
    <w:rsid w:val="008375C5"/>
    <w:rsid w:val="0084019A"/>
    <w:rsid w:val="00841120"/>
    <w:rsid w:val="00842809"/>
    <w:rsid w:val="00845336"/>
    <w:rsid w:val="008464BE"/>
    <w:rsid w:val="00850A28"/>
    <w:rsid w:val="008510FE"/>
    <w:rsid w:val="0085144A"/>
    <w:rsid w:val="00851D23"/>
    <w:rsid w:val="0085258E"/>
    <w:rsid w:val="008546D6"/>
    <w:rsid w:val="00856EF2"/>
    <w:rsid w:val="008574E4"/>
    <w:rsid w:val="0086329F"/>
    <w:rsid w:val="00864037"/>
    <w:rsid w:val="00864155"/>
    <w:rsid w:val="00864631"/>
    <w:rsid w:val="0086488F"/>
    <w:rsid w:val="00865E01"/>
    <w:rsid w:val="008713A6"/>
    <w:rsid w:val="00871974"/>
    <w:rsid w:val="008777E1"/>
    <w:rsid w:val="008805F5"/>
    <w:rsid w:val="00884344"/>
    <w:rsid w:val="00887519"/>
    <w:rsid w:val="00890F2E"/>
    <w:rsid w:val="00891123"/>
    <w:rsid w:val="008921FC"/>
    <w:rsid w:val="008927EB"/>
    <w:rsid w:val="00895682"/>
    <w:rsid w:val="00895CC1"/>
    <w:rsid w:val="008A10CF"/>
    <w:rsid w:val="008A189F"/>
    <w:rsid w:val="008A2211"/>
    <w:rsid w:val="008A2B53"/>
    <w:rsid w:val="008A4211"/>
    <w:rsid w:val="008A4B56"/>
    <w:rsid w:val="008A6934"/>
    <w:rsid w:val="008B14BA"/>
    <w:rsid w:val="008B3C50"/>
    <w:rsid w:val="008B569E"/>
    <w:rsid w:val="008B672D"/>
    <w:rsid w:val="008C1349"/>
    <w:rsid w:val="008C245B"/>
    <w:rsid w:val="008C32F7"/>
    <w:rsid w:val="008C3502"/>
    <w:rsid w:val="008C5F72"/>
    <w:rsid w:val="008C63E5"/>
    <w:rsid w:val="008C6482"/>
    <w:rsid w:val="008C75E2"/>
    <w:rsid w:val="008D07C3"/>
    <w:rsid w:val="008D1B2C"/>
    <w:rsid w:val="008D1C74"/>
    <w:rsid w:val="008D57D8"/>
    <w:rsid w:val="008E134A"/>
    <w:rsid w:val="008E2626"/>
    <w:rsid w:val="008E50A9"/>
    <w:rsid w:val="008E746E"/>
    <w:rsid w:val="008E7940"/>
    <w:rsid w:val="008F3AF2"/>
    <w:rsid w:val="008F3BD5"/>
    <w:rsid w:val="008F47C8"/>
    <w:rsid w:val="008F515B"/>
    <w:rsid w:val="008F54EA"/>
    <w:rsid w:val="008F5E78"/>
    <w:rsid w:val="008F62A3"/>
    <w:rsid w:val="008F6825"/>
    <w:rsid w:val="00910AEB"/>
    <w:rsid w:val="00913377"/>
    <w:rsid w:val="009137A7"/>
    <w:rsid w:val="00913E4D"/>
    <w:rsid w:val="00913F7A"/>
    <w:rsid w:val="009163A8"/>
    <w:rsid w:val="00917165"/>
    <w:rsid w:val="00921F3F"/>
    <w:rsid w:val="00923D1B"/>
    <w:rsid w:val="00924EC1"/>
    <w:rsid w:val="0092578B"/>
    <w:rsid w:val="00925A57"/>
    <w:rsid w:val="00930511"/>
    <w:rsid w:val="0093103D"/>
    <w:rsid w:val="009310B9"/>
    <w:rsid w:val="00932B21"/>
    <w:rsid w:val="0093529B"/>
    <w:rsid w:val="00936E98"/>
    <w:rsid w:val="0094459B"/>
    <w:rsid w:val="00947EBA"/>
    <w:rsid w:val="009546F8"/>
    <w:rsid w:val="009557EB"/>
    <w:rsid w:val="00956CA4"/>
    <w:rsid w:val="00957C24"/>
    <w:rsid w:val="00962545"/>
    <w:rsid w:val="0096587C"/>
    <w:rsid w:val="00966222"/>
    <w:rsid w:val="0096763F"/>
    <w:rsid w:val="00970855"/>
    <w:rsid w:val="00970DC6"/>
    <w:rsid w:val="009718B3"/>
    <w:rsid w:val="009724B7"/>
    <w:rsid w:val="0097269A"/>
    <w:rsid w:val="00972E1B"/>
    <w:rsid w:val="009731DB"/>
    <w:rsid w:val="00973A4E"/>
    <w:rsid w:val="0097484C"/>
    <w:rsid w:val="009751BC"/>
    <w:rsid w:val="0097549E"/>
    <w:rsid w:val="00976F40"/>
    <w:rsid w:val="009778EC"/>
    <w:rsid w:val="00977D6F"/>
    <w:rsid w:val="00980C90"/>
    <w:rsid w:val="00984037"/>
    <w:rsid w:val="00984810"/>
    <w:rsid w:val="00984915"/>
    <w:rsid w:val="00984924"/>
    <w:rsid w:val="00985731"/>
    <w:rsid w:val="009868F2"/>
    <w:rsid w:val="009903E8"/>
    <w:rsid w:val="00995459"/>
    <w:rsid w:val="00996068"/>
    <w:rsid w:val="00996B81"/>
    <w:rsid w:val="009970AA"/>
    <w:rsid w:val="009975AF"/>
    <w:rsid w:val="009977C0"/>
    <w:rsid w:val="00997BC0"/>
    <w:rsid w:val="009A31DA"/>
    <w:rsid w:val="009B0344"/>
    <w:rsid w:val="009B31AA"/>
    <w:rsid w:val="009B5C46"/>
    <w:rsid w:val="009B615D"/>
    <w:rsid w:val="009B63EF"/>
    <w:rsid w:val="009B7F8F"/>
    <w:rsid w:val="009C26A2"/>
    <w:rsid w:val="009C511D"/>
    <w:rsid w:val="009C5FC2"/>
    <w:rsid w:val="009D1941"/>
    <w:rsid w:val="009D2A50"/>
    <w:rsid w:val="009D2FA1"/>
    <w:rsid w:val="009D3D09"/>
    <w:rsid w:val="009D3E0E"/>
    <w:rsid w:val="009E2E63"/>
    <w:rsid w:val="009E39F8"/>
    <w:rsid w:val="009E52F9"/>
    <w:rsid w:val="009E7296"/>
    <w:rsid w:val="009F20BC"/>
    <w:rsid w:val="00A01566"/>
    <w:rsid w:val="00A11762"/>
    <w:rsid w:val="00A15EC4"/>
    <w:rsid w:val="00A2291F"/>
    <w:rsid w:val="00A233AB"/>
    <w:rsid w:val="00A257D7"/>
    <w:rsid w:val="00A30329"/>
    <w:rsid w:val="00A30356"/>
    <w:rsid w:val="00A36793"/>
    <w:rsid w:val="00A37D19"/>
    <w:rsid w:val="00A40BC9"/>
    <w:rsid w:val="00A410D5"/>
    <w:rsid w:val="00A41784"/>
    <w:rsid w:val="00A41878"/>
    <w:rsid w:val="00A42936"/>
    <w:rsid w:val="00A459AA"/>
    <w:rsid w:val="00A45FFF"/>
    <w:rsid w:val="00A473AE"/>
    <w:rsid w:val="00A503EC"/>
    <w:rsid w:val="00A50DED"/>
    <w:rsid w:val="00A50E93"/>
    <w:rsid w:val="00A50F05"/>
    <w:rsid w:val="00A538E0"/>
    <w:rsid w:val="00A61C23"/>
    <w:rsid w:val="00A644DD"/>
    <w:rsid w:val="00A66AB7"/>
    <w:rsid w:val="00A67399"/>
    <w:rsid w:val="00A71230"/>
    <w:rsid w:val="00A71486"/>
    <w:rsid w:val="00A71DAA"/>
    <w:rsid w:val="00A72BB2"/>
    <w:rsid w:val="00A74694"/>
    <w:rsid w:val="00A75551"/>
    <w:rsid w:val="00A766E2"/>
    <w:rsid w:val="00A8140E"/>
    <w:rsid w:val="00A81B1C"/>
    <w:rsid w:val="00A82E05"/>
    <w:rsid w:val="00A834AC"/>
    <w:rsid w:val="00A86230"/>
    <w:rsid w:val="00A916C5"/>
    <w:rsid w:val="00A949F2"/>
    <w:rsid w:val="00A94CCF"/>
    <w:rsid w:val="00A95853"/>
    <w:rsid w:val="00AA02B8"/>
    <w:rsid w:val="00AA1107"/>
    <w:rsid w:val="00AA2F50"/>
    <w:rsid w:val="00AB035E"/>
    <w:rsid w:val="00AB1C7D"/>
    <w:rsid w:val="00AB1E3D"/>
    <w:rsid w:val="00AB3024"/>
    <w:rsid w:val="00AB30C5"/>
    <w:rsid w:val="00AB3D57"/>
    <w:rsid w:val="00AB3D83"/>
    <w:rsid w:val="00AC1766"/>
    <w:rsid w:val="00AC190C"/>
    <w:rsid w:val="00AC2B37"/>
    <w:rsid w:val="00AC55EE"/>
    <w:rsid w:val="00AC5ABA"/>
    <w:rsid w:val="00AC6EBA"/>
    <w:rsid w:val="00AC75AC"/>
    <w:rsid w:val="00AD2D12"/>
    <w:rsid w:val="00AD3179"/>
    <w:rsid w:val="00AD57C5"/>
    <w:rsid w:val="00AD76F9"/>
    <w:rsid w:val="00AE69F4"/>
    <w:rsid w:val="00AF4B73"/>
    <w:rsid w:val="00AF580B"/>
    <w:rsid w:val="00B010B5"/>
    <w:rsid w:val="00B02B91"/>
    <w:rsid w:val="00B06593"/>
    <w:rsid w:val="00B123F4"/>
    <w:rsid w:val="00B12FAE"/>
    <w:rsid w:val="00B13952"/>
    <w:rsid w:val="00B1568E"/>
    <w:rsid w:val="00B17D7F"/>
    <w:rsid w:val="00B258F0"/>
    <w:rsid w:val="00B30BF1"/>
    <w:rsid w:val="00B30F94"/>
    <w:rsid w:val="00B31359"/>
    <w:rsid w:val="00B31BCE"/>
    <w:rsid w:val="00B355C9"/>
    <w:rsid w:val="00B37DA8"/>
    <w:rsid w:val="00B40EBE"/>
    <w:rsid w:val="00B41B58"/>
    <w:rsid w:val="00B429F3"/>
    <w:rsid w:val="00B44112"/>
    <w:rsid w:val="00B441DE"/>
    <w:rsid w:val="00B44EEF"/>
    <w:rsid w:val="00B45D4C"/>
    <w:rsid w:val="00B50366"/>
    <w:rsid w:val="00B53102"/>
    <w:rsid w:val="00B54FD4"/>
    <w:rsid w:val="00B57FD1"/>
    <w:rsid w:val="00B616B0"/>
    <w:rsid w:val="00B6314A"/>
    <w:rsid w:val="00B63585"/>
    <w:rsid w:val="00B71E6F"/>
    <w:rsid w:val="00B71FF4"/>
    <w:rsid w:val="00B7244F"/>
    <w:rsid w:val="00B73472"/>
    <w:rsid w:val="00B73FF0"/>
    <w:rsid w:val="00B74AA4"/>
    <w:rsid w:val="00B752FA"/>
    <w:rsid w:val="00B83B7A"/>
    <w:rsid w:val="00B85C31"/>
    <w:rsid w:val="00B86057"/>
    <w:rsid w:val="00B86DA8"/>
    <w:rsid w:val="00B870A3"/>
    <w:rsid w:val="00B87EA6"/>
    <w:rsid w:val="00B9679F"/>
    <w:rsid w:val="00BA1C81"/>
    <w:rsid w:val="00BA1CB1"/>
    <w:rsid w:val="00BA32B3"/>
    <w:rsid w:val="00BB01B2"/>
    <w:rsid w:val="00BB01B8"/>
    <w:rsid w:val="00BB0E21"/>
    <w:rsid w:val="00BB1265"/>
    <w:rsid w:val="00BB12D1"/>
    <w:rsid w:val="00BB1EF0"/>
    <w:rsid w:val="00BB22D9"/>
    <w:rsid w:val="00BB2F31"/>
    <w:rsid w:val="00BB4927"/>
    <w:rsid w:val="00BB52D3"/>
    <w:rsid w:val="00BB6690"/>
    <w:rsid w:val="00BC116A"/>
    <w:rsid w:val="00BC1950"/>
    <w:rsid w:val="00BC2EB3"/>
    <w:rsid w:val="00BC3BBA"/>
    <w:rsid w:val="00BC4332"/>
    <w:rsid w:val="00BC5E79"/>
    <w:rsid w:val="00BC5E8D"/>
    <w:rsid w:val="00BC6CA0"/>
    <w:rsid w:val="00BD09FB"/>
    <w:rsid w:val="00BD1105"/>
    <w:rsid w:val="00BD2759"/>
    <w:rsid w:val="00BD3568"/>
    <w:rsid w:val="00BD5C52"/>
    <w:rsid w:val="00BD5D7F"/>
    <w:rsid w:val="00BE4539"/>
    <w:rsid w:val="00BE658C"/>
    <w:rsid w:val="00BE70FF"/>
    <w:rsid w:val="00BE7A31"/>
    <w:rsid w:val="00BF1880"/>
    <w:rsid w:val="00BF5C9E"/>
    <w:rsid w:val="00BF6376"/>
    <w:rsid w:val="00BF764F"/>
    <w:rsid w:val="00C00364"/>
    <w:rsid w:val="00C01D2F"/>
    <w:rsid w:val="00C02540"/>
    <w:rsid w:val="00C0394D"/>
    <w:rsid w:val="00C0640D"/>
    <w:rsid w:val="00C07651"/>
    <w:rsid w:val="00C12875"/>
    <w:rsid w:val="00C14F61"/>
    <w:rsid w:val="00C2259D"/>
    <w:rsid w:val="00C2287E"/>
    <w:rsid w:val="00C2310D"/>
    <w:rsid w:val="00C23CEC"/>
    <w:rsid w:val="00C23F8C"/>
    <w:rsid w:val="00C258DB"/>
    <w:rsid w:val="00C25F70"/>
    <w:rsid w:val="00C27A04"/>
    <w:rsid w:val="00C301AE"/>
    <w:rsid w:val="00C32535"/>
    <w:rsid w:val="00C33533"/>
    <w:rsid w:val="00C40D3D"/>
    <w:rsid w:val="00C41849"/>
    <w:rsid w:val="00C41C17"/>
    <w:rsid w:val="00C436A5"/>
    <w:rsid w:val="00C45A2A"/>
    <w:rsid w:val="00C45B53"/>
    <w:rsid w:val="00C505D6"/>
    <w:rsid w:val="00C509CC"/>
    <w:rsid w:val="00C51397"/>
    <w:rsid w:val="00C55C73"/>
    <w:rsid w:val="00C578D1"/>
    <w:rsid w:val="00C62E96"/>
    <w:rsid w:val="00C6354C"/>
    <w:rsid w:val="00C6550B"/>
    <w:rsid w:val="00C65FDE"/>
    <w:rsid w:val="00C67060"/>
    <w:rsid w:val="00C6717A"/>
    <w:rsid w:val="00C67FC1"/>
    <w:rsid w:val="00C7056F"/>
    <w:rsid w:val="00C70B9F"/>
    <w:rsid w:val="00C70DD0"/>
    <w:rsid w:val="00C749EA"/>
    <w:rsid w:val="00C7719D"/>
    <w:rsid w:val="00C818AF"/>
    <w:rsid w:val="00C82A46"/>
    <w:rsid w:val="00C82C4C"/>
    <w:rsid w:val="00C835D6"/>
    <w:rsid w:val="00C84345"/>
    <w:rsid w:val="00C846A1"/>
    <w:rsid w:val="00C900FB"/>
    <w:rsid w:val="00C907A4"/>
    <w:rsid w:val="00C912BE"/>
    <w:rsid w:val="00C9136D"/>
    <w:rsid w:val="00C9634C"/>
    <w:rsid w:val="00CA3B05"/>
    <w:rsid w:val="00CA4C0D"/>
    <w:rsid w:val="00CA5711"/>
    <w:rsid w:val="00CA7469"/>
    <w:rsid w:val="00CB00E9"/>
    <w:rsid w:val="00CB0930"/>
    <w:rsid w:val="00CB38E2"/>
    <w:rsid w:val="00CB4D8E"/>
    <w:rsid w:val="00CB547E"/>
    <w:rsid w:val="00CC01FD"/>
    <w:rsid w:val="00CC3093"/>
    <w:rsid w:val="00CC4912"/>
    <w:rsid w:val="00CC56D9"/>
    <w:rsid w:val="00CD2004"/>
    <w:rsid w:val="00CD295A"/>
    <w:rsid w:val="00CD2B63"/>
    <w:rsid w:val="00CD517B"/>
    <w:rsid w:val="00CE0296"/>
    <w:rsid w:val="00CE3A6B"/>
    <w:rsid w:val="00CE4F24"/>
    <w:rsid w:val="00CE61F2"/>
    <w:rsid w:val="00CF0C6F"/>
    <w:rsid w:val="00CF0FC6"/>
    <w:rsid w:val="00CF2177"/>
    <w:rsid w:val="00CF2279"/>
    <w:rsid w:val="00CF6740"/>
    <w:rsid w:val="00D01337"/>
    <w:rsid w:val="00D019DA"/>
    <w:rsid w:val="00D02C5C"/>
    <w:rsid w:val="00D05159"/>
    <w:rsid w:val="00D0787D"/>
    <w:rsid w:val="00D07E00"/>
    <w:rsid w:val="00D12213"/>
    <w:rsid w:val="00D14E1B"/>
    <w:rsid w:val="00D1674B"/>
    <w:rsid w:val="00D16DD9"/>
    <w:rsid w:val="00D219E3"/>
    <w:rsid w:val="00D23E54"/>
    <w:rsid w:val="00D24C3F"/>
    <w:rsid w:val="00D27651"/>
    <w:rsid w:val="00D27A2D"/>
    <w:rsid w:val="00D3105B"/>
    <w:rsid w:val="00D34E0B"/>
    <w:rsid w:val="00D359C2"/>
    <w:rsid w:val="00D35C6B"/>
    <w:rsid w:val="00D3608B"/>
    <w:rsid w:val="00D41572"/>
    <w:rsid w:val="00D4365B"/>
    <w:rsid w:val="00D444E8"/>
    <w:rsid w:val="00D44B62"/>
    <w:rsid w:val="00D44E98"/>
    <w:rsid w:val="00D45653"/>
    <w:rsid w:val="00D467F1"/>
    <w:rsid w:val="00D4682B"/>
    <w:rsid w:val="00D46C87"/>
    <w:rsid w:val="00D55B54"/>
    <w:rsid w:val="00D57A92"/>
    <w:rsid w:val="00D57E52"/>
    <w:rsid w:val="00D638F8"/>
    <w:rsid w:val="00D66BDE"/>
    <w:rsid w:val="00D67163"/>
    <w:rsid w:val="00D7003C"/>
    <w:rsid w:val="00D70B59"/>
    <w:rsid w:val="00D74632"/>
    <w:rsid w:val="00D75285"/>
    <w:rsid w:val="00D75555"/>
    <w:rsid w:val="00D75CD9"/>
    <w:rsid w:val="00D7602A"/>
    <w:rsid w:val="00D76524"/>
    <w:rsid w:val="00D76A67"/>
    <w:rsid w:val="00D7763D"/>
    <w:rsid w:val="00D77A15"/>
    <w:rsid w:val="00D77F65"/>
    <w:rsid w:val="00D81380"/>
    <w:rsid w:val="00D82FB8"/>
    <w:rsid w:val="00D844E3"/>
    <w:rsid w:val="00D907FA"/>
    <w:rsid w:val="00D9263F"/>
    <w:rsid w:val="00D92812"/>
    <w:rsid w:val="00D92AAE"/>
    <w:rsid w:val="00D9369E"/>
    <w:rsid w:val="00D96D56"/>
    <w:rsid w:val="00DA0C03"/>
    <w:rsid w:val="00DA250B"/>
    <w:rsid w:val="00DA40E2"/>
    <w:rsid w:val="00DA4F7E"/>
    <w:rsid w:val="00DA57FB"/>
    <w:rsid w:val="00DA6099"/>
    <w:rsid w:val="00DA7C9E"/>
    <w:rsid w:val="00DB1E80"/>
    <w:rsid w:val="00DB343C"/>
    <w:rsid w:val="00DB3BCF"/>
    <w:rsid w:val="00DB42E2"/>
    <w:rsid w:val="00DB66E3"/>
    <w:rsid w:val="00DB6731"/>
    <w:rsid w:val="00DC107D"/>
    <w:rsid w:val="00DC1104"/>
    <w:rsid w:val="00DC36D2"/>
    <w:rsid w:val="00DD049D"/>
    <w:rsid w:val="00DD1E6B"/>
    <w:rsid w:val="00DD2B3C"/>
    <w:rsid w:val="00DD3C63"/>
    <w:rsid w:val="00DD5BB1"/>
    <w:rsid w:val="00DD738B"/>
    <w:rsid w:val="00DD7EA7"/>
    <w:rsid w:val="00DF4C23"/>
    <w:rsid w:val="00DF70AF"/>
    <w:rsid w:val="00E01FE9"/>
    <w:rsid w:val="00E02758"/>
    <w:rsid w:val="00E03D1D"/>
    <w:rsid w:val="00E06BF9"/>
    <w:rsid w:val="00E1007A"/>
    <w:rsid w:val="00E12915"/>
    <w:rsid w:val="00E1485E"/>
    <w:rsid w:val="00E15F56"/>
    <w:rsid w:val="00E21BC9"/>
    <w:rsid w:val="00E23170"/>
    <w:rsid w:val="00E23E2B"/>
    <w:rsid w:val="00E247CD"/>
    <w:rsid w:val="00E25B2C"/>
    <w:rsid w:val="00E2698B"/>
    <w:rsid w:val="00E33A22"/>
    <w:rsid w:val="00E3574D"/>
    <w:rsid w:val="00E402A2"/>
    <w:rsid w:val="00E40B2D"/>
    <w:rsid w:val="00E421BF"/>
    <w:rsid w:val="00E46E94"/>
    <w:rsid w:val="00E52BB4"/>
    <w:rsid w:val="00E52C4B"/>
    <w:rsid w:val="00E54849"/>
    <w:rsid w:val="00E5578D"/>
    <w:rsid w:val="00E56FF6"/>
    <w:rsid w:val="00E57208"/>
    <w:rsid w:val="00E60425"/>
    <w:rsid w:val="00E6267E"/>
    <w:rsid w:val="00E6336D"/>
    <w:rsid w:val="00E638C9"/>
    <w:rsid w:val="00E67B23"/>
    <w:rsid w:val="00E704E4"/>
    <w:rsid w:val="00E71020"/>
    <w:rsid w:val="00E71067"/>
    <w:rsid w:val="00E71BD8"/>
    <w:rsid w:val="00E7215F"/>
    <w:rsid w:val="00E73A86"/>
    <w:rsid w:val="00E74AF7"/>
    <w:rsid w:val="00E75726"/>
    <w:rsid w:val="00E776C2"/>
    <w:rsid w:val="00E81A76"/>
    <w:rsid w:val="00E867CC"/>
    <w:rsid w:val="00E87CEB"/>
    <w:rsid w:val="00E9085A"/>
    <w:rsid w:val="00E91584"/>
    <w:rsid w:val="00E95A13"/>
    <w:rsid w:val="00E97468"/>
    <w:rsid w:val="00EA3760"/>
    <w:rsid w:val="00EA3BD2"/>
    <w:rsid w:val="00EA6919"/>
    <w:rsid w:val="00EB02B0"/>
    <w:rsid w:val="00EB11F4"/>
    <w:rsid w:val="00EB1D8C"/>
    <w:rsid w:val="00EB3882"/>
    <w:rsid w:val="00EB46C9"/>
    <w:rsid w:val="00EB4C93"/>
    <w:rsid w:val="00EB5B77"/>
    <w:rsid w:val="00EB65BC"/>
    <w:rsid w:val="00EB6D63"/>
    <w:rsid w:val="00EC110D"/>
    <w:rsid w:val="00EC4DE3"/>
    <w:rsid w:val="00ED046B"/>
    <w:rsid w:val="00ED0B4A"/>
    <w:rsid w:val="00ED198D"/>
    <w:rsid w:val="00ED2059"/>
    <w:rsid w:val="00ED41B6"/>
    <w:rsid w:val="00ED4E02"/>
    <w:rsid w:val="00ED59DD"/>
    <w:rsid w:val="00EE0E75"/>
    <w:rsid w:val="00EE367A"/>
    <w:rsid w:val="00EE370B"/>
    <w:rsid w:val="00EE7D01"/>
    <w:rsid w:val="00EF05CB"/>
    <w:rsid w:val="00EF1AA9"/>
    <w:rsid w:val="00EF33BF"/>
    <w:rsid w:val="00EF3D12"/>
    <w:rsid w:val="00F02356"/>
    <w:rsid w:val="00F03BC3"/>
    <w:rsid w:val="00F041C6"/>
    <w:rsid w:val="00F10FA4"/>
    <w:rsid w:val="00F11B0B"/>
    <w:rsid w:val="00F13578"/>
    <w:rsid w:val="00F159B1"/>
    <w:rsid w:val="00F21D98"/>
    <w:rsid w:val="00F24297"/>
    <w:rsid w:val="00F2484D"/>
    <w:rsid w:val="00F24C21"/>
    <w:rsid w:val="00F250EC"/>
    <w:rsid w:val="00F30578"/>
    <w:rsid w:val="00F329A5"/>
    <w:rsid w:val="00F32F61"/>
    <w:rsid w:val="00F33DCC"/>
    <w:rsid w:val="00F35DD0"/>
    <w:rsid w:val="00F36677"/>
    <w:rsid w:val="00F366DD"/>
    <w:rsid w:val="00F368A4"/>
    <w:rsid w:val="00F40897"/>
    <w:rsid w:val="00F40A77"/>
    <w:rsid w:val="00F41B1A"/>
    <w:rsid w:val="00F4306A"/>
    <w:rsid w:val="00F431BD"/>
    <w:rsid w:val="00F4555B"/>
    <w:rsid w:val="00F47065"/>
    <w:rsid w:val="00F50843"/>
    <w:rsid w:val="00F50EA1"/>
    <w:rsid w:val="00F51065"/>
    <w:rsid w:val="00F54254"/>
    <w:rsid w:val="00F5474D"/>
    <w:rsid w:val="00F55BCA"/>
    <w:rsid w:val="00F56CFC"/>
    <w:rsid w:val="00F57D52"/>
    <w:rsid w:val="00F6120A"/>
    <w:rsid w:val="00F61BBA"/>
    <w:rsid w:val="00F61E29"/>
    <w:rsid w:val="00F644A8"/>
    <w:rsid w:val="00F64E79"/>
    <w:rsid w:val="00F67EAE"/>
    <w:rsid w:val="00F7186E"/>
    <w:rsid w:val="00F75438"/>
    <w:rsid w:val="00F76C77"/>
    <w:rsid w:val="00F77329"/>
    <w:rsid w:val="00F80F63"/>
    <w:rsid w:val="00F81641"/>
    <w:rsid w:val="00F81B15"/>
    <w:rsid w:val="00F83EA3"/>
    <w:rsid w:val="00F83EA8"/>
    <w:rsid w:val="00F83F74"/>
    <w:rsid w:val="00F84C76"/>
    <w:rsid w:val="00F87F1C"/>
    <w:rsid w:val="00F90C26"/>
    <w:rsid w:val="00F90D6C"/>
    <w:rsid w:val="00F91EE3"/>
    <w:rsid w:val="00F91FAF"/>
    <w:rsid w:val="00F93513"/>
    <w:rsid w:val="00F940C9"/>
    <w:rsid w:val="00F95386"/>
    <w:rsid w:val="00F955D0"/>
    <w:rsid w:val="00F95C19"/>
    <w:rsid w:val="00F96036"/>
    <w:rsid w:val="00FA1754"/>
    <w:rsid w:val="00FA26BB"/>
    <w:rsid w:val="00FA42DA"/>
    <w:rsid w:val="00FA4A27"/>
    <w:rsid w:val="00FA5B92"/>
    <w:rsid w:val="00FA6629"/>
    <w:rsid w:val="00FA68FE"/>
    <w:rsid w:val="00FB3B1F"/>
    <w:rsid w:val="00FB3C5A"/>
    <w:rsid w:val="00FB3D46"/>
    <w:rsid w:val="00FB3F57"/>
    <w:rsid w:val="00FB497C"/>
    <w:rsid w:val="00FB4D08"/>
    <w:rsid w:val="00FB6057"/>
    <w:rsid w:val="00FB64BF"/>
    <w:rsid w:val="00FC3BFC"/>
    <w:rsid w:val="00FC6A88"/>
    <w:rsid w:val="00FD0CE9"/>
    <w:rsid w:val="00FD2DCF"/>
    <w:rsid w:val="00FD3035"/>
    <w:rsid w:val="00FD38FA"/>
    <w:rsid w:val="00FD48CA"/>
    <w:rsid w:val="00FD78DF"/>
    <w:rsid w:val="00FE5851"/>
    <w:rsid w:val="00FE61F1"/>
    <w:rsid w:val="00FF151D"/>
    <w:rsid w:val="00FF1B22"/>
    <w:rsid w:val="00FF2C80"/>
    <w:rsid w:val="00FF3642"/>
    <w:rsid w:val="00FF50B5"/>
    <w:rsid w:val="00FF75F1"/>
    <w:rsid w:val="00FF7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716AF857"/>
  <w15:docId w15:val="{D6EB6615-294D-4279-B201-4DD71FCD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7C9E"/>
    <w:rPr>
      <w:sz w:val="24"/>
    </w:rPr>
  </w:style>
  <w:style w:type="paragraph" w:styleId="Heading1">
    <w:name w:val="heading 1"/>
    <w:aliases w:val="Part"/>
    <w:basedOn w:val="Normal"/>
    <w:next w:val="Heading2"/>
    <w:qFormat/>
    <w:rsid w:val="00DA7C9E"/>
    <w:pPr>
      <w:spacing w:after="240"/>
      <w:jc w:val="center"/>
      <w:outlineLvl w:val="0"/>
    </w:pPr>
    <w:rPr>
      <w:rFonts w:ascii="Arial" w:hAnsi="Arial"/>
      <w:b/>
      <w:sz w:val="32"/>
    </w:rPr>
  </w:style>
  <w:style w:type="paragraph" w:styleId="Heading2">
    <w:name w:val="heading 2"/>
    <w:aliases w:val="Chapter Title"/>
    <w:basedOn w:val="Normal"/>
    <w:next w:val="Heading4"/>
    <w:qFormat/>
    <w:rsid w:val="00DA7C9E"/>
    <w:pPr>
      <w:spacing w:after="240"/>
      <w:jc w:val="center"/>
      <w:outlineLvl w:val="1"/>
    </w:pPr>
    <w:rPr>
      <w:rFonts w:ascii="Arial" w:hAnsi="Arial"/>
      <w:b/>
      <w:sz w:val="32"/>
    </w:rPr>
  </w:style>
  <w:style w:type="paragraph" w:styleId="Heading3">
    <w:name w:val="heading 3"/>
    <w:aliases w:val="Section"/>
    <w:basedOn w:val="Normal"/>
    <w:next w:val="Heading4"/>
    <w:qFormat/>
    <w:rsid w:val="00DA7C9E"/>
    <w:pPr>
      <w:spacing w:after="240"/>
      <w:jc w:val="center"/>
      <w:outlineLvl w:val="2"/>
    </w:pPr>
    <w:rPr>
      <w:rFonts w:ascii="Arial" w:hAnsi="Arial"/>
      <w:b/>
      <w:sz w:val="32"/>
    </w:rPr>
  </w:style>
  <w:style w:type="paragraph" w:styleId="Heading4">
    <w:name w:val="heading 4"/>
    <w:aliases w:val="Map Title"/>
    <w:basedOn w:val="Normal"/>
    <w:next w:val="Normal"/>
    <w:qFormat/>
    <w:rsid w:val="00731B7C"/>
    <w:pPr>
      <w:outlineLvl w:val="3"/>
    </w:pPr>
    <w:rPr>
      <w:b/>
      <w:sz w:val="32"/>
    </w:rPr>
  </w:style>
  <w:style w:type="paragraph" w:styleId="Heading5">
    <w:name w:val="heading 5"/>
    <w:aliases w:val="Block Label"/>
    <w:basedOn w:val="Normal"/>
    <w:next w:val="Normal"/>
    <w:qFormat/>
    <w:rsid w:val="00DA7C9E"/>
    <w:pPr>
      <w:outlineLvl w:val="4"/>
    </w:pPr>
    <w:rPr>
      <w:b/>
      <w:sz w:val="22"/>
    </w:rPr>
  </w:style>
  <w:style w:type="paragraph" w:styleId="Heading6">
    <w:name w:val="heading 6"/>
    <w:basedOn w:val="Normal"/>
    <w:next w:val="Normal"/>
    <w:qFormat/>
    <w:rsid w:val="00DA7C9E"/>
    <w:pPr>
      <w:spacing w:before="240" w:after="60"/>
      <w:outlineLvl w:val="5"/>
    </w:pPr>
    <w:rPr>
      <w:i/>
      <w:sz w:val="22"/>
    </w:rPr>
  </w:style>
  <w:style w:type="paragraph" w:styleId="Heading7">
    <w:name w:val="heading 7"/>
    <w:basedOn w:val="Normal"/>
    <w:next w:val="Normal"/>
    <w:qFormat/>
    <w:rsid w:val="00DA7C9E"/>
    <w:pPr>
      <w:spacing w:before="240" w:after="60"/>
      <w:outlineLvl w:val="6"/>
    </w:pPr>
    <w:rPr>
      <w:rFonts w:ascii="Arial" w:hAnsi="Arial"/>
      <w:sz w:val="20"/>
    </w:rPr>
  </w:style>
  <w:style w:type="paragraph" w:styleId="Heading8">
    <w:name w:val="heading 8"/>
    <w:basedOn w:val="Normal"/>
    <w:next w:val="Normal"/>
    <w:qFormat/>
    <w:rsid w:val="00DA7C9E"/>
    <w:pPr>
      <w:spacing w:before="240" w:after="60"/>
      <w:outlineLvl w:val="7"/>
    </w:pPr>
    <w:rPr>
      <w:rFonts w:ascii="Arial" w:hAnsi="Arial"/>
      <w:i/>
      <w:sz w:val="20"/>
    </w:rPr>
  </w:style>
  <w:style w:type="paragraph" w:styleId="Heading9">
    <w:name w:val="heading 9"/>
    <w:basedOn w:val="Normal"/>
    <w:next w:val="Normal"/>
    <w:qFormat/>
    <w:rsid w:val="00DA7C9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A7C9E"/>
    <w:pPr>
      <w:tabs>
        <w:tab w:val="center" w:pos="4320"/>
        <w:tab w:val="right" w:pos="8640"/>
      </w:tabs>
    </w:pPr>
  </w:style>
  <w:style w:type="paragraph" w:styleId="MacroText">
    <w:name w:val="macro"/>
    <w:semiHidden/>
    <w:rsid w:val="00DA7C9E"/>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customStyle="1" w:styleId="BlockLine">
    <w:name w:val="Block Line"/>
    <w:basedOn w:val="Normal"/>
    <w:next w:val="Normal"/>
    <w:rsid w:val="00DA7C9E"/>
    <w:pPr>
      <w:pBdr>
        <w:top w:val="single" w:sz="6" w:space="1" w:color="auto"/>
        <w:between w:val="single" w:sz="6" w:space="1" w:color="auto"/>
      </w:pBdr>
      <w:spacing w:before="240"/>
      <w:ind w:left="1700"/>
    </w:pPr>
  </w:style>
  <w:style w:type="paragraph" w:styleId="BlockText">
    <w:name w:val="Block Text"/>
    <w:basedOn w:val="Normal"/>
    <w:uiPriority w:val="99"/>
    <w:rsid w:val="00DA7C9E"/>
  </w:style>
  <w:style w:type="paragraph" w:customStyle="1" w:styleId="BulletText1">
    <w:name w:val="Bullet Text 1"/>
    <w:basedOn w:val="Normal"/>
    <w:rsid w:val="00DA7C9E"/>
    <w:pPr>
      <w:ind w:left="187" w:hanging="187"/>
    </w:pPr>
  </w:style>
  <w:style w:type="paragraph" w:customStyle="1" w:styleId="BulletText2">
    <w:name w:val="Bullet Text 2"/>
    <w:basedOn w:val="BulletText1"/>
    <w:rsid w:val="00DA7C9E"/>
    <w:pPr>
      <w:ind w:left="360"/>
    </w:pPr>
  </w:style>
  <w:style w:type="paragraph" w:customStyle="1" w:styleId="ContinuedOnNextPa">
    <w:name w:val="Continued On Next Pa"/>
    <w:basedOn w:val="Normal"/>
    <w:next w:val="Normal"/>
    <w:rsid w:val="00DA7C9E"/>
    <w:pPr>
      <w:pBdr>
        <w:top w:val="single" w:sz="6" w:space="1" w:color="auto"/>
        <w:between w:val="single" w:sz="6" w:space="1" w:color="auto"/>
      </w:pBdr>
      <w:ind w:left="1700"/>
      <w:jc w:val="right"/>
    </w:pPr>
    <w:rPr>
      <w:i/>
      <w:sz w:val="20"/>
    </w:rPr>
  </w:style>
  <w:style w:type="paragraph" w:customStyle="1" w:styleId="ContinuedTableLabe">
    <w:name w:val="Continued Table Labe"/>
    <w:basedOn w:val="Normal"/>
    <w:rsid w:val="00DA7C9E"/>
    <w:rPr>
      <w:b/>
      <w:sz w:val="22"/>
    </w:rPr>
  </w:style>
  <w:style w:type="paragraph" w:customStyle="1" w:styleId="MapTitleContinued">
    <w:name w:val="Map Title. Continued"/>
    <w:basedOn w:val="Normal"/>
    <w:rsid w:val="00DA7C9E"/>
    <w:pPr>
      <w:spacing w:after="240"/>
      <w:jc w:val="both"/>
    </w:pPr>
    <w:rPr>
      <w:rFonts w:ascii="Helvetica" w:hAnsi="Helvetica"/>
      <w:b/>
    </w:rPr>
  </w:style>
  <w:style w:type="paragraph" w:customStyle="1" w:styleId="MemoLine">
    <w:name w:val="Memo Line"/>
    <w:basedOn w:val="BlockLine"/>
    <w:next w:val="Normal"/>
    <w:rsid w:val="00DA7C9E"/>
    <w:pPr>
      <w:ind w:left="0"/>
    </w:pPr>
  </w:style>
  <w:style w:type="paragraph" w:styleId="Footer">
    <w:name w:val="footer"/>
    <w:basedOn w:val="Normal"/>
    <w:link w:val="FooterChar"/>
    <w:uiPriority w:val="99"/>
    <w:rsid w:val="00DA7C9E"/>
    <w:pPr>
      <w:tabs>
        <w:tab w:val="center" w:pos="4320"/>
        <w:tab w:val="right" w:pos="8640"/>
      </w:tabs>
    </w:pPr>
  </w:style>
  <w:style w:type="character" w:styleId="PageNumber">
    <w:name w:val="page number"/>
    <w:basedOn w:val="DefaultParagraphFont"/>
    <w:rsid w:val="00DA7C9E"/>
  </w:style>
  <w:style w:type="paragraph" w:customStyle="1" w:styleId="TableText">
    <w:name w:val="Table Text"/>
    <w:basedOn w:val="Normal"/>
    <w:rsid w:val="00DA7C9E"/>
  </w:style>
  <w:style w:type="paragraph" w:customStyle="1" w:styleId="NoteText">
    <w:name w:val="Note Text"/>
    <w:basedOn w:val="BlockText"/>
    <w:rsid w:val="00DA7C9E"/>
  </w:style>
  <w:style w:type="paragraph" w:customStyle="1" w:styleId="TableHeaderText">
    <w:name w:val="Table Header Text"/>
    <w:basedOn w:val="TableText"/>
    <w:rsid w:val="00DA7C9E"/>
    <w:pPr>
      <w:jc w:val="center"/>
    </w:pPr>
    <w:rPr>
      <w:b/>
    </w:rPr>
  </w:style>
  <w:style w:type="paragraph" w:customStyle="1" w:styleId="EmbeddedText">
    <w:name w:val="Embedded Text"/>
    <w:basedOn w:val="TableText"/>
    <w:rsid w:val="00DA7C9E"/>
  </w:style>
  <w:style w:type="paragraph" w:styleId="TOC1">
    <w:name w:val="toc 1"/>
    <w:basedOn w:val="Normal"/>
    <w:next w:val="Normal"/>
    <w:semiHidden/>
    <w:rsid w:val="00DA7C9E"/>
    <w:pPr>
      <w:tabs>
        <w:tab w:val="right" w:leader="dot" w:pos="10800"/>
      </w:tabs>
    </w:pPr>
  </w:style>
  <w:style w:type="paragraph" w:styleId="TOC2">
    <w:name w:val="toc 2"/>
    <w:basedOn w:val="Normal"/>
    <w:next w:val="Normal"/>
    <w:semiHidden/>
    <w:rsid w:val="00DA7C9E"/>
    <w:pPr>
      <w:tabs>
        <w:tab w:val="right" w:leader="dot" w:pos="10800"/>
      </w:tabs>
      <w:ind w:left="240"/>
    </w:pPr>
  </w:style>
  <w:style w:type="paragraph" w:styleId="BodyText3">
    <w:name w:val="Body Text 3"/>
    <w:basedOn w:val="Normal"/>
    <w:rsid w:val="00DA7C9E"/>
    <w:rPr>
      <w:b/>
      <w:sz w:val="18"/>
    </w:rPr>
  </w:style>
  <w:style w:type="paragraph" w:styleId="BodyText2">
    <w:name w:val="Body Text 2"/>
    <w:basedOn w:val="Normal"/>
    <w:rsid w:val="00DA7C9E"/>
    <w:rPr>
      <w:b/>
      <w:sz w:val="16"/>
    </w:rPr>
  </w:style>
  <w:style w:type="paragraph" w:styleId="Title">
    <w:name w:val="Title"/>
    <w:basedOn w:val="Normal"/>
    <w:qFormat/>
    <w:rsid w:val="00DA7C9E"/>
    <w:pPr>
      <w:tabs>
        <w:tab w:val="left" w:pos="900"/>
        <w:tab w:val="left" w:pos="1980"/>
        <w:tab w:val="left" w:pos="2880"/>
        <w:tab w:val="left" w:pos="4140"/>
        <w:tab w:val="left" w:pos="5040"/>
        <w:tab w:val="left" w:pos="6300"/>
        <w:tab w:val="left" w:pos="7200"/>
      </w:tabs>
      <w:jc w:val="center"/>
    </w:pPr>
    <w:rPr>
      <w:b/>
      <w:sz w:val="28"/>
    </w:rPr>
  </w:style>
  <w:style w:type="character" w:styleId="Hyperlink">
    <w:name w:val="Hyperlink"/>
    <w:basedOn w:val="DefaultParagraphFont"/>
    <w:rsid w:val="00DA7C9E"/>
    <w:rPr>
      <w:color w:val="0000FF"/>
      <w:u w:val="single"/>
    </w:rPr>
  </w:style>
  <w:style w:type="paragraph" w:customStyle="1" w:styleId="Extmemo">
    <w:name w:val="Extmemo"/>
    <w:basedOn w:val="Normal"/>
    <w:rsid w:val="00DA7C9E"/>
    <w:pPr>
      <w:spacing w:line="240" w:lineRule="exact"/>
    </w:pPr>
    <w:rPr>
      <w:rFonts w:ascii="Times" w:hAnsi="Times"/>
    </w:rPr>
  </w:style>
  <w:style w:type="paragraph" w:styleId="PlainText">
    <w:name w:val="Plain Text"/>
    <w:basedOn w:val="Normal"/>
    <w:rsid w:val="00DA7C9E"/>
    <w:rPr>
      <w:rFonts w:ascii="Courier New" w:hAnsi="Courier New"/>
      <w:sz w:val="20"/>
    </w:rPr>
  </w:style>
  <w:style w:type="paragraph" w:styleId="DocumentMap">
    <w:name w:val="Document Map"/>
    <w:basedOn w:val="Normal"/>
    <w:semiHidden/>
    <w:rsid w:val="00DA7C9E"/>
    <w:pPr>
      <w:shd w:val="clear" w:color="auto" w:fill="000080"/>
    </w:pPr>
    <w:rPr>
      <w:rFonts w:ascii="Tahoma" w:hAnsi="Tahoma"/>
    </w:rPr>
  </w:style>
  <w:style w:type="character" w:styleId="FollowedHyperlink">
    <w:name w:val="FollowedHyperlink"/>
    <w:basedOn w:val="DefaultParagraphFont"/>
    <w:rsid w:val="00DA7C9E"/>
    <w:rPr>
      <w:color w:val="800080"/>
      <w:u w:val="single"/>
    </w:rPr>
  </w:style>
  <w:style w:type="paragraph" w:styleId="BodyText">
    <w:name w:val="Body Text"/>
    <w:basedOn w:val="Normal"/>
    <w:rsid w:val="00DA7C9E"/>
    <w:rPr>
      <w:sz w:val="16"/>
    </w:rPr>
  </w:style>
  <w:style w:type="character" w:styleId="CommentReference">
    <w:name w:val="annotation reference"/>
    <w:basedOn w:val="DefaultParagraphFont"/>
    <w:semiHidden/>
    <w:rsid w:val="00DA7C9E"/>
    <w:rPr>
      <w:sz w:val="16"/>
    </w:rPr>
  </w:style>
  <w:style w:type="paragraph" w:styleId="CommentText">
    <w:name w:val="annotation text"/>
    <w:basedOn w:val="Normal"/>
    <w:semiHidden/>
    <w:rsid w:val="00DA7C9E"/>
    <w:rPr>
      <w:sz w:val="20"/>
    </w:rPr>
  </w:style>
  <w:style w:type="paragraph" w:styleId="Caption">
    <w:name w:val="caption"/>
    <w:basedOn w:val="Normal"/>
    <w:next w:val="Normal"/>
    <w:qFormat/>
    <w:rsid w:val="00DA7C9E"/>
    <w:pPr>
      <w:spacing w:before="120" w:after="120"/>
    </w:pPr>
    <w:rPr>
      <w:b/>
    </w:rPr>
  </w:style>
  <w:style w:type="paragraph" w:customStyle="1" w:styleId="BodySingle">
    <w:name w:val="BodySingle"/>
    <w:rsid w:val="00DA7C9E"/>
    <w:rPr>
      <w:rFonts w:ascii="Arial" w:hAnsi="Arial"/>
      <w:sz w:val="24"/>
    </w:rPr>
  </w:style>
  <w:style w:type="paragraph" w:styleId="BalloonText">
    <w:name w:val="Balloon Text"/>
    <w:basedOn w:val="Normal"/>
    <w:semiHidden/>
    <w:rsid w:val="00D23E54"/>
    <w:rPr>
      <w:rFonts w:ascii="Tahoma" w:hAnsi="Tahoma" w:cs="Tahoma"/>
      <w:sz w:val="16"/>
      <w:szCs w:val="16"/>
    </w:rPr>
  </w:style>
  <w:style w:type="table" w:styleId="TableGrid">
    <w:name w:val="Table Grid"/>
    <w:basedOn w:val="TableNormal"/>
    <w:rsid w:val="00277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F2C80"/>
    <w:pPr>
      <w:autoSpaceDE w:val="0"/>
      <w:autoSpaceDN w:val="0"/>
      <w:adjustRightInd w:val="0"/>
    </w:pPr>
    <w:rPr>
      <w:color w:val="000000"/>
      <w:sz w:val="24"/>
      <w:szCs w:val="24"/>
    </w:rPr>
  </w:style>
  <w:style w:type="paragraph" w:customStyle="1" w:styleId="Normal11pt">
    <w:name w:val="Normal + 11pt"/>
    <w:basedOn w:val="NormalWeb"/>
    <w:link w:val="Normal11ptChar"/>
    <w:rsid w:val="005A5737"/>
    <w:pPr>
      <w:spacing w:before="100" w:beforeAutospacing="1" w:after="100" w:afterAutospacing="1"/>
    </w:pPr>
    <w:rPr>
      <w:rFonts w:ascii="Arial" w:hAnsi="Arial" w:cs="Arial"/>
    </w:rPr>
  </w:style>
  <w:style w:type="character" w:customStyle="1" w:styleId="Normal11ptChar">
    <w:name w:val="Normal + 11pt Char"/>
    <w:basedOn w:val="DefaultParagraphFont"/>
    <w:link w:val="Normal11pt"/>
    <w:rsid w:val="005A5737"/>
    <w:rPr>
      <w:rFonts w:ascii="Arial" w:hAnsi="Arial" w:cs="Arial"/>
      <w:sz w:val="24"/>
      <w:szCs w:val="24"/>
      <w:lang w:val="en-US" w:eastAsia="en-US" w:bidi="ar-SA"/>
    </w:rPr>
  </w:style>
  <w:style w:type="paragraph" w:styleId="NormalWeb">
    <w:name w:val="Normal (Web)"/>
    <w:basedOn w:val="Normal"/>
    <w:link w:val="NormalWebChar"/>
    <w:rsid w:val="005A5737"/>
    <w:rPr>
      <w:szCs w:val="24"/>
    </w:rPr>
  </w:style>
  <w:style w:type="character" w:customStyle="1" w:styleId="HeaderChar">
    <w:name w:val="Header Char"/>
    <w:basedOn w:val="DefaultParagraphFont"/>
    <w:link w:val="Header"/>
    <w:uiPriority w:val="99"/>
    <w:rsid w:val="00FB3F57"/>
    <w:rPr>
      <w:sz w:val="24"/>
    </w:rPr>
  </w:style>
  <w:style w:type="character" w:customStyle="1" w:styleId="FooterChar">
    <w:name w:val="Footer Char"/>
    <w:basedOn w:val="DefaultParagraphFont"/>
    <w:link w:val="Footer"/>
    <w:uiPriority w:val="99"/>
    <w:rsid w:val="004D612E"/>
    <w:rPr>
      <w:sz w:val="24"/>
    </w:rPr>
  </w:style>
  <w:style w:type="character" w:styleId="Emphasis">
    <w:name w:val="Emphasis"/>
    <w:basedOn w:val="DefaultParagraphFont"/>
    <w:qFormat/>
    <w:rsid w:val="004D612E"/>
    <w:rPr>
      <w:i/>
      <w:iCs/>
    </w:rPr>
  </w:style>
  <w:style w:type="character" w:customStyle="1" w:styleId="NormalWebChar">
    <w:name w:val="Normal (Web) Char"/>
    <w:basedOn w:val="DefaultParagraphFont"/>
    <w:link w:val="NormalWeb"/>
    <w:rsid w:val="00BA32B3"/>
    <w:rPr>
      <w:sz w:val="24"/>
      <w:szCs w:val="24"/>
    </w:rPr>
  </w:style>
  <w:style w:type="paragraph" w:styleId="ListParagraph">
    <w:name w:val="List Paragraph"/>
    <w:basedOn w:val="Normal"/>
    <w:uiPriority w:val="34"/>
    <w:qFormat/>
    <w:rsid w:val="006E2261"/>
    <w:pPr>
      <w:ind w:left="720"/>
    </w:pPr>
  </w:style>
  <w:style w:type="character" w:styleId="UnresolvedMention">
    <w:name w:val="Unresolved Mention"/>
    <w:basedOn w:val="DefaultParagraphFont"/>
    <w:uiPriority w:val="99"/>
    <w:semiHidden/>
    <w:unhideWhenUsed/>
    <w:rsid w:val="009C5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78805">
      <w:bodyDiv w:val="1"/>
      <w:marLeft w:val="0"/>
      <w:marRight w:val="0"/>
      <w:marTop w:val="0"/>
      <w:marBottom w:val="0"/>
      <w:divBdr>
        <w:top w:val="none" w:sz="0" w:space="0" w:color="auto"/>
        <w:left w:val="none" w:sz="0" w:space="0" w:color="auto"/>
        <w:bottom w:val="none" w:sz="0" w:space="0" w:color="auto"/>
        <w:right w:val="none" w:sz="0" w:space="0" w:color="auto"/>
      </w:divBdr>
    </w:div>
    <w:div w:id="39211058">
      <w:bodyDiv w:val="1"/>
      <w:marLeft w:val="0"/>
      <w:marRight w:val="0"/>
      <w:marTop w:val="0"/>
      <w:marBottom w:val="0"/>
      <w:divBdr>
        <w:top w:val="none" w:sz="0" w:space="0" w:color="auto"/>
        <w:left w:val="none" w:sz="0" w:space="0" w:color="auto"/>
        <w:bottom w:val="none" w:sz="0" w:space="0" w:color="auto"/>
        <w:right w:val="none" w:sz="0" w:space="0" w:color="auto"/>
      </w:divBdr>
    </w:div>
    <w:div w:id="109866029">
      <w:bodyDiv w:val="1"/>
      <w:marLeft w:val="0"/>
      <w:marRight w:val="0"/>
      <w:marTop w:val="0"/>
      <w:marBottom w:val="0"/>
      <w:divBdr>
        <w:top w:val="none" w:sz="0" w:space="0" w:color="auto"/>
        <w:left w:val="none" w:sz="0" w:space="0" w:color="auto"/>
        <w:bottom w:val="none" w:sz="0" w:space="0" w:color="auto"/>
        <w:right w:val="none" w:sz="0" w:space="0" w:color="auto"/>
      </w:divBdr>
    </w:div>
    <w:div w:id="113259888">
      <w:bodyDiv w:val="1"/>
      <w:marLeft w:val="0"/>
      <w:marRight w:val="0"/>
      <w:marTop w:val="0"/>
      <w:marBottom w:val="0"/>
      <w:divBdr>
        <w:top w:val="none" w:sz="0" w:space="0" w:color="auto"/>
        <w:left w:val="none" w:sz="0" w:space="0" w:color="auto"/>
        <w:bottom w:val="none" w:sz="0" w:space="0" w:color="auto"/>
        <w:right w:val="none" w:sz="0" w:space="0" w:color="auto"/>
      </w:divBdr>
    </w:div>
    <w:div w:id="132064404">
      <w:bodyDiv w:val="1"/>
      <w:marLeft w:val="0"/>
      <w:marRight w:val="0"/>
      <w:marTop w:val="0"/>
      <w:marBottom w:val="0"/>
      <w:divBdr>
        <w:top w:val="none" w:sz="0" w:space="0" w:color="auto"/>
        <w:left w:val="none" w:sz="0" w:space="0" w:color="auto"/>
        <w:bottom w:val="none" w:sz="0" w:space="0" w:color="auto"/>
        <w:right w:val="none" w:sz="0" w:space="0" w:color="auto"/>
      </w:divBdr>
      <w:divsChild>
        <w:div w:id="1507399964">
          <w:marLeft w:val="0"/>
          <w:marRight w:val="0"/>
          <w:marTop w:val="0"/>
          <w:marBottom w:val="0"/>
          <w:divBdr>
            <w:top w:val="none" w:sz="0" w:space="0" w:color="auto"/>
            <w:left w:val="none" w:sz="0" w:space="0" w:color="auto"/>
            <w:bottom w:val="none" w:sz="0" w:space="0" w:color="auto"/>
            <w:right w:val="none" w:sz="0" w:space="0" w:color="auto"/>
          </w:divBdr>
        </w:div>
      </w:divsChild>
    </w:div>
    <w:div w:id="219363837">
      <w:bodyDiv w:val="1"/>
      <w:marLeft w:val="0"/>
      <w:marRight w:val="0"/>
      <w:marTop w:val="0"/>
      <w:marBottom w:val="0"/>
      <w:divBdr>
        <w:top w:val="none" w:sz="0" w:space="0" w:color="auto"/>
        <w:left w:val="none" w:sz="0" w:space="0" w:color="auto"/>
        <w:bottom w:val="none" w:sz="0" w:space="0" w:color="auto"/>
        <w:right w:val="none" w:sz="0" w:space="0" w:color="auto"/>
      </w:divBdr>
    </w:div>
    <w:div w:id="277831543">
      <w:bodyDiv w:val="1"/>
      <w:marLeft w:val="0"/>
      <w:marRight w:val="0"/>
      <w:marTop w:val="0"/>
      <w:marBottom w:val="0"/>
      <w:divBdr>
        <w:top w:val="none" w:sz="0" w:space="0" w:color="auto"/>
        <w:left w:val="none" w:sz="0" w:space="0" w:color="auto"/>
        <w:bottom w:val="none" w:sz="0" w:space="0" w:color="auto"/>
        <w:right w:val="none" w:sz="0" w:space="0" w:color="auto"/>
      </w:divBdr>
    </w:div>
    <w:div w:id="321659087">
      <w:bodyDiv w:val="1"/>
      <w:marLeft w:val="0"/>
      <w:marRight w:val="0"/>
      <w:marTop w:val="0"/>
      <w:marBottom w:val="0"/>
      <w:divBdr>
        <w:top w:val="none" w:sz="0" w:space="0" w:color="auto"/>
        <w:left w:val="none" w:sz="0" w:space="0" w:color="auto"/>
        <w:bottom w:val="none" w:sz="0" w:space="0" w:color="auto"/>
        <w:right w:val="none" w:sz="0" w:space="0" w:color="auto"/>
      </w:divBdr>
    </w:div>
    <w:div w:id="467743193">
      <w:bodyDiv w:val="1"/>
      <w:marLeft w:val="0"/>
      <w:marRight w:val="0"/>
      <w:marTop w:val="0"/>
      <w:marBottom w:val="0"/>
      <w:divBdr>
        <w:top w:val="none" w:sz="0" w:space="0" w:color="auto"/>
        <w:left w:val="none" w:sz="0" w:space="0" w:color="auto"/>
        <w:bottom w:val="none" w:sz="0" w:space="0" w:color="auto"/>
        <w:right w:val="none" w:sz="0" w:space="0" w:color="auto"/>
      </w:divBdr>
    </w:div>
    <w:div w:id="526723172">
      <w:bodyDiv w:val="1"/>
      <w:marLeft w:val="0"/>
      <w:marRight w:val="0"/>
      <w:marTop w:val="0"/>
      <w:marBottom w:val="0"/>
      <w:divBdr>
        <w:top w:val="none" w:sz="0" w:space="0" w:color="auto"/>
        <w:left w:val="none" w:sz="0" w:space="0" w:color="auto"/>
        <w:bottom w:val="none" w:sz="0" w:space="0" w:color="auto"/>
        <w:right w:val="none" w:sz="0" w:space="0" w:color="auto"/>
      </w:divBdr>
    </w:div>
    <w:div w:id="571087609">
      <w:bodyDiv w:val="1"/>
      <w:marLeft w:val="0"/>
      <w:marRight w:val="0"/>
      <w:marTop w:val="0"/>
      <w:marBottom w:val="0"/>
      <w:divBdr>
        <w:top w:val="none" w:sz="0" w:space="0" w:color="auto"/>
        <w:left w:val="none" w:sz="0" w:space="0" w:color="auto"/>
        <w:bottom w:val="none" w:sz="0" w:space="0" w:color="auto"/>
        <w:right w:val="none" w:sz="0" w:space="0" w:color="auto"/>
      </w:divBdr>
    </w:div>
    <w:div w:id="593326179">
      <w:bodyDiv w:val="1"/>
      <w:marLeft w:val="0"/>
      <w:marRight w:val="0"/>
      <w:marTop w:val="0"/>
      <w:marBottom w:val="0"/>
      <w:divBdr>
        <w:top w:val="none" w:sz="0" w:space="0" w:color="auto"/>
        <w:left w:val="none" w:sz="0" w:space="0" w:color="auto"/>
        <w:bottom w:val="none" w:sz="0" w:space="0" w:color="auto"/>
        <w:right w:val="none" w:sz="0" w:space="0" w:color="auto"/>
      </w:divBdr>
    </w:div>
    <w:div w:id="632172042">
      <w:bodyDiv w:val="1"/>
      <w:marLeft w:val="0"/>
      <w:marRight w:val="0"/>
      <w:marTop w:val="0"/>
      <w:marBottom w:val="0"/>
      <w:divBdr>
        <w:top w:val="none" w:sz="0" w:space="0" w:color="auto"/>
        <w:left w:val="none" w:sz="0" w:space="0" w:color="auto"/>
        <w:bottom w:val="none" w:sz="0" w:space="0" w:color="auto"/>
        <w:right w:val="none" w:sz="0" w:space="0" w:color="auto"/>
      </w:divBdr>
    </w:div>
    <w:div w:id="633681974">
      <w:bodyDiv w:val="1"/>
      <w:marLeft w:val="0"/>
      <w:marRight w:val="0"/>
      <w:marTop w:val="0"/>
      <w:marBottom w:val="0"/>
      <w:divBdr>
        <w:top w:val="none" w:sz="0" w:space="0" w:color="auto"/>
        <w:left w:val="none" w:sz="0" w:space="0" w:color="auto"/>
        <w:bottom w:val="none" w:sz="0" w:space="0" w:color="auto"/>
        <w:right w:val="none" w:sz="0" w:space="0" w:color="auto"/>
      </w:divBdr>
    </w:div>
    <w:div w:id="661350533">
      <w:bodyDiv w:val="1"/>
      <w:marLeft w:val="0"/>
      <w:marRight w:val="0"/>
      <w:marTop w:val="0"/>
      <w:marBottom w:val="0"/>
      <w:divBdr>
        <w:top w:val="none" w:sz="0" w:space="0" w:color="auto"/>
        <w:left w:val="none" w:sz="0" w:space="0" w:color="auto"/>
        <w:bottom w:val="none" w:sz="0" w:space="0" w:color="auto"/>
        <w:right w:val="none" w:sz="0" w:space="0" w:color="auto"/>
      </w:divBdr>
    </w:div>
    <w:div w:id="688919899">
      <w:bodyDiv w:val="1"/>
      <w:marLeft w:val="0"/>
      <w:marRight w:val="0"/>
      <w:marTop w:val="0"/>
      <w:marBottom w:val="0"/>
      <w:divBdr>
        <w:top w:val="none" w:sz="0" w:space="0" w:color="auto"/>
        <w:left w:val="none" w:sz="0" w:space="0" w:color="auto"/>
        <w:bottom w:val="none" w:sz="0" w:space="0" w:color="auto"/>
        <w:right w:val="none" w:sz="0" w:space="0" w:color="auto"/>
      </w:divBdr>
    </w:div>
    <w:div w:id="744230671">
      <w:bodyDiv w:val="1"/>
      <w:marLeft w:val="0"/>
      <w:marRight w:val="0"/>
      <w:marTop w:val="0"/>
      <w:marBottom w:val="0"/>
      <w:divBdr>
        <w:top w:val="none" w:sz="0" w:space="0" w:color="auto"/>
        <w:left w:val="none" w:sz="0" w:space="0" w:color="auto"/>
        <w:bottom w:val="none" w:sz="0" w:space="0" w:color="auto"/>
        <w:right w:val="none" w:sz="0" w:space="0" w:color="auto"/>
      </w:divBdr>
    </w:div>
    <w:div w:id="753358251">
      <w:bodyDiv w:val="1"/>
      <w:marLeft w:val="0"/>
      <w:marRight w:val="0"/>
      <w:marTop w:val="0"/>
      <w:marBottom w:val="0"/>
      <w:divBdr>
        <w:top w:val="none" w:sz="0" w:space="0" w:color="auto"/>
        <w:left w:val="none" w:sz="0" w:space="0" w:color="auto"/>
        <w:bottom w:val="none" w:sz="0" w:space="0" w:color="auto"/>
        <w:right w:val="none" w:sz="0" w:space="0" w:color="auto"/>
      </w:divBdr>
    </w:div>
    <w:div w:id="770272774">
      <w:bodyDiv w:val="1"/>
      <w:marLeft w:val="0"/>
      <w:marRight w:val="0"/>
      <w:marTop w:val="0"/>
      <w:marBottom w:val="0"/>
      <w:divBdr>
        <w:top w:val="none" w:sz="0" w:space="0" w:color="auto"/>
        <w:left w:val="none" w:sz="0" w:space="0" w:color="auto"/>
        <w:bottom w:val="none" w:sz="0" w:space="0" w:color="auto"/>
        <w:right w:val="none" w:sz="0" w:space="0" w:color="auto"/>
      </w:divBdr>
    </w:div>
    <w:div w:id="782263116">
      <w:bodyDiv w:val="1"/>
      <w:marLeft w:val="0"/>
      <w:marRight w:val="0"/>
      <w:marTop w:val="0"/>
      <w:marBottom w:val="0"/>
      <w:divBdr>
        <w:top w:val="none" w:sz="0" w:space="0" w:color="auto"/>
        <w:left w:val="none" w:sz="0" w:space="0" w:color="auto"/>
        <w:bottom w:val="none" w:sz="0" w:space="0" w:color="auto"/>
        <w:right w:val="none" w:sz="0" w:space="0" w:color="auto"/>
      </w:divBdr>
    </w:div>
    <w:div w:id="893733434">
      <w:bodyDiv w:val="1"/>
      <w:marLeft w:val="0"/>
      <w:marRight w:val="0"/>
      <w:marTop w:val="0"/>
      <w:marBottom w:val="0"/>
      <w:divBdr>
        <w:top w:val="none" w:sz="0" w:space="0" w:color="auto"/>
        <w:left w:val="none" w:sz="0" w:space="0" w:color="auto"/>
        <w:bottom w:val="none" w:sz="0" w:space="0" w:color="auto"/>
        <w:right w:val="none" w:sz="0" w:space="0" w:color="auto"/>
      </w:divBdr>
    </w:div>
    <w:div w:id="903487677">
      <w:bodyDiv w:val="1"/>
      <w:marLeft w:val="0"/>
      <w:marRight w:val="0"/>
      <w:marTop w:val="0"/>
      <w:marBottom w:val="0"/>
      <w:divBdr>
        <w:top w:val="none" w:sz="0" w:space="0" w:color="auto"/>
        <w:left w:val="none" w:sz="0" w:space="0" w:color="auto"/>
        <w:bottom w:val="none" w:sz="0" w:space="0" w:color="auto"/>
        <w:right w:val="none" w:sz="0" w:space="0" w:color="auto"/>
      </w:divBdr>
    </w:div>
    <w:div w:id="948707419">
      <w:bodyDiv w:val="1"/>
      <w:marLeft w:val="0"/>
      <w:marRight w:val="0"/>
      <w:marTop w:val="0"/>
      <w:marBottom w:val="0"/>
      <w:divBdr>
        <w:top w:val="none" w:sz="0" w:space="0" w:color="auto"/>
        <w:left w:val="none" w:sz="0" w:space="0" w:color="auto"/>
        <w:bottom w:val="none" w:sz="0" w:space="0" w:color="auto"/>
        <w:right w:val="none" w:sz="0" w:space="0" w:color="auto"/>
      </w:divBdr>
    </w:div>
    <w:div w:id="949313588">
      <w:bodyDiv w:val="1"/>
      <w:marLeft w:val="0"/>
      <w:marRight w:val="0"/>
      <w:marTop w:val="0"/>
      <w:marBottom w:val="0"/>
      <w:divBdr>
        <w:top w:val="none" w:sz="0" w:space="0" w:color="auto"/>
        <w:left w:val="none" w:sz="0" w:space="0" w:color="auto"/>
        <w:bottom w:val="none" w:sz="0" w:space="0" w:color="auto"/>
        <w:right w:val="none" w:sz="0" w:space="0" w:color="auto"/>
      </w:divBdr>
    </w:div>
    <w:div w:id="1045518754">
      <w:bodyDiv w:val="1"/>
      <w:marLeft w:val="0"/>
      <w:marRight w:val="0"/>
      <w:marTop w:val="0"/>
      <w:marBottom w:val="0"/>
      <w:divBdr>
        <w:top w:val="none" w:sz="0" w:space="0" w:color="auto"/>
        <w:left w:val="none" w:sz="0" w:space="0" w:color="auto"/>
        <w:bottom w:val="none" w:sz="0" w:space="0" w:color="auto"/>
        <w:right w:val="none" w:sz="0" w:space="0" w:color="auto"/>
      </w:divBdr>
    </w:div>
    <w:div w:id="1066879188">
      <w:bodyDiv w:val="1"/>
      <w:marLeft w:val="0"/>
      <w:marRight w:val="0"/>
      <w:marTop w:val="0"/>
      <w:marBottom w:val="0"/>
      <w:divBdr>
        <w:top w:val="none" w:sz="0" w:space="0" w:color="auto"/>
        <w:left w:val="none" w:sz="0" w:space="0" w:color="auto"/>
        <w:bottom w:val="none" w:sz="0" w:space="0" w:color="auto"/>
        <w:right w:val="none" w:sz="0" w:space="0" w:color="auto"/>
      </w:divBdr>
    </w:div>
    <w:div w:id="1137450334">
      <w:bodyDiv w:val="1"/>
      <w:marLeft w:val="0"/>
      <w:marRight w:val="0"/>
      <w:marTop w:val="0"/>
      <w:marBottom w:val="0"/>
      <w:divBdr>
        <w:top w:val="none" w:sz="0" w:space="0" w:color="auto"/>
        <w:left w:val="none" w:sz="0" w:space="0" w:color="auto"/>
        <w:bottom w:val="none" w:sz="0" w:space="0" w:color="auto"/>
        <w:right w:val="none" w:sz="0" w:space="0" w:color="auto"/>
      </w:divBdr>
    </w:div>
    <w:div w:id="1208181246">
      <w:bodyDiv w:val="1"/>
      <w:marLeft w:val="0"/>
      <w:marRight w:val="0"/>
      <w:marTop w:val="0"/>
      <w:marBottom w:val="0"/>
      <w:divBdr>
        <w:top w:val="none" w:sz="0" w:space="0" w:color="auto"/>
        <w:left w:val="none" w:sz="0" w:space="0" w:color="auto"/>
        <w:bottom w:val="none" w:sz="0" w:space="0" w:color="auto"/>
        <w:right w:val="none" w:sz="0" w:space="0" w:color="auto"/>
      </w:divBdr>
    </w:div>
    <w:div w:id="1271662018">
      <w:bodyDiv w:val="1"/>
      <w:marLeft w:val="0"/>
      <w:marRight w:val="0"/>
      <w:marTop w:val="0"/>
      <w:marBottom w:val="0"/>
      <w:divBdr>
        <w:top w:val="none" w:sz="0" w:space="0" w:color="auto"/>
        <w:left w:val="none" w:sz="0" w:space="0" w:color="auto"/>
        <w:bottom w:val="none" w:sz="0" w:space="0" w:color="auto"/>
        <w:right w:val="none" w:sz="0" w:space="0" w:color="auto"/>
      </w:divBdr>
    </w:div>
    <w:div w:id="1296453266">
      <w:bodyDiv w:val="1"/>
      <w:marLeft w:val="0"/>
      <w:marRight w:val="0"/>
      <w:marTop w:val="0"/>
      <w:marBottom w:val="0"/>
      <w:divBdr>
        <w:top w:val="none" w:sz="0" w:space="0" w:color="auto"/>
        <w:left w:val="none" w:sz="0" w:space="0" w:color="auto"/>
        <w:bottom w:val="none" w:sz="0" w:space="0" w:color="auto"/>
        <w:right w:val="none" w:sz="0" w:space="0" w:color="auto"/>
      </w:divBdr>
    </w:div>
    <w:div w:id="1301576085">
      <w:bodyDiv w:val="1"/>
      <w:marLeft w:val="0"/>
      <w:marRight w:val="0"/>
      <w:marTop w:val="0"/>
      <w:marBottom w:val="0"/>
      <w:divBdr>
        <w:top w:val="none" w:sz="0" w:space="0" w:color="auto"/>
        <w:left w:val="none" w:sz="0" w:space="0" w:color="auto"/>
        <w:bottom w:val="none" w:sz="0" w:space="0" w:color="auto"/>
        <w:right w:val="none" w:sz="0" w:space="0" w:color="auto"/>
      </w:divBdr>
    </w:div>
    <w:div w:id="1351570231">
      <w:bodyDiv w:val="1"/>
      <w:marLeft w:val="0"/>
      <w:marRight w:val="0"/>
      <w:marTop w:val="0"/>
      <w:marBottom w:val="0"/>
      <w:divBdr>
        <w:top w:val="none" w:sz="0" w:space="0" w:color="auto"/>
        <w:left w:val="none" w:sz="0" w:space="0" w:color="auto"/>
        <w:bottom w:val="none" w:sz="0" w:space="0" w:color="auto"/>
        <w:right w:val="none" w:sz="0" w:space="0" w:color="auto"/>
      </w:divBdr>
    </w:div>
    <w:div w:id="1352336498">
      <w:bodyDiv w:val="1"/>
      <w:marLeft w:val="0"/>
      <w:marRight w:val="0"/>
      <w:marTop w:val="0"/>
      <w:marBottom w:val="0"/>
      <w:divBdr>
        <w:top w:val="none" w:sz="0" w:space="0" w:color="auto"/>
        <w:left w:val="none" w:sz="0" w:space="0" w:color="auto"/>
        <w:bottom w:val="none" w:sz="0" w:space="0" w:color="auto"/>
        <w:right w:val="none" w:sz="0" w:space="0" w:color="auto"/>
      </w:divBdr>
    </w:div>
    <w:div w:id="1448235992">
      <w:bodyDiv w:val="1"/>
      <w:marLeft w:val="0"/>
      <w:marRight w:val="0"/>
      <w:marTop w:val="0"/>
      <w:marBottom w:val="0"/>
      <w:divBdr>
        <w:top w:val="none" w:sz="0" w:space="0" w:color="auto"/>
        <w:left w:val="none" w:sz="0" w:space="0" w:color="auto"/>
        <w:bottom w:val="none" w:sz="0" w:space="0" w:color="auto"/>
        <w:right w:val="none" w:sz="0" w:space="0" w:color="auto"/>
      </w:divBdr>
    </w:div>
    <w:div w:id="1503084553">
      <w:bodyDiv w:val="1"/>
      <w:marLeft w:val="0"/>
      <w:marRight w:val="0"/>
      <w:marTop w:val="0"/>
      <w:marBottom w:val="0"/>
      <w:divBdr>
        <w:top w:val="none" w:sz="0" w:space="0" w:color="auto"/>
        <w:left w:val="none" w:sz="0" w:space="0" w:color="auto"/>
        <w:bottom w:val="none" w:sz="0" w:space="0" w:color="auto"/>
        <w:right w:val="none" w:sz="0" w:space="0" w:color="auto"/>
      </w:divBdr>
    </w:div>
    <w:div w:id="1532912019">
      <w:bodyDiv w:val="1"/>
      <w:marLeft w:val="0"/>
      <w:marRight w:val="0"/>
      <w:marTop w:val="0"/>
      <w:marBottom w:val="0"/>
      <w:divBdr>
        <w:top w:val="none" w:sz="0" w:space="0" w:color="auto"/>
        <w:left w:val="none" w:sz="0" w:space="0" w:color="auto"/>
        <w:bottom w:val="none" w:sz="0" w:space="0" w:color="auto"/>
        <w:right w:val="none" w:sz="0" w:space="0" w:color="auto"/>
      </w:divBdr>
    </w:div>
    <w:div w:id="1567377559">
      <w:bodyDiv w:val="1"/>
      <w:marLeft w:val="0"/>
      <w:marRight w:val="0"/>
      <w:marTop w:val="0"/>
      <w:marBottom w:val="0"/>
      <w:divBdr>
        <w:top w:val="none" w:sz="0" w:space="0" w:color="auto"/>
        <w:left w:val="none" w:sz="0" w:space="0" w:color="auto"/>
        <w:bottom w:val="none" w:sz="0" w:space="0" w:color="auto"/>
        <w:right w:val="none" w:sz="0" w:space="0" w:color="auto"/>
      </w:divBdr>
    </w:div>
    <w:div w:id="1581600835">
      <w:bodyDiv w:val="1"/>
      <w:marLeft w:val="0"/>
      <w:marRight w:val="0"/>
      <w:marTop w:val="0"/>
      <w:marBottom w:val="0"/>
      <w:divBdr>
        <w:top w:val="none" w:sz="0" w:space="0" w:color="auto"/>
        <w:left w:val="none" w:sz="0" w:space="0" w:color="auto"/>
        <w:bottom w:val="none" w:sz="0" w:space="0" w:color="auto"/>
        <w:right w:val="none" w:sz="0" w:space="0" w:color="auto"/>
      </w:divBdr>
    </w:div>
    <w:div w:id="1834176224">
      <w:bodyDiv w:val="1"/>
      <w:marLeft w:val="0"/>
      <w:marRight w:val="0"/>
      <w:marTop w:val="0"/>
      <w:marBottom w:val="0"/>
      <w:divBdr>
        <w:top w:val="none" w:sz="0" w:space="0" w:color="auto"/>
        <w:left w:val="none" w:sz="0" w:space="0" w:color="auto"/>
        <w:bottom w:val="none" w:sz="0" w:space="0" w:color="auto"/>
        <w:right w:val="none" w:sz="0" w:space="0" w:color="auto"/>
      </w:divBdr>
    </w:div>
    <w:div w:id="190154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yroll@doa.virgini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a.virginia.gov/reference/payroll" TargetMode="External"/><Relationship Id="rId5" Type="http://schemas.openxmlformats.org/officeDocument/2006/relationships/webSettings" Target="webSettings.xml"/><Relationship Id="rId10" Type="http://schemas.openxmlformats.org/officeDocument/2006/relationships/hyperlink" Target="mailto:ORPHE@varetire.org" TargetMode="External"/><Relationship Id="rId4" Type="http://schemas.openxmlformats.org/officeDocument/2006/relationships/settings" Target="settings.xml"/><Relationship Id="rId9" Type="http://schemas.openxmlformats.org/officeDocument/2006/relationships/hyperlink" Target="https://employers.varetire.org/pdfs/er-manual-group-life-insurance.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INFOMA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84631-91FF-47B7-B956-A3D66E98D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INFOMAP.DOT</Template>
  <TotalTime>11</TotalTime>
  <Pages>3</Pages>
  <Words>1374</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Payroll Bulletin 2015-12</vt:lpstr>
    </vt:vector>
  </TitlesOfParts>
  <Company>Virginia Department of Accounts</Company>
  <LinksUpToDate>false</LinksUpToDate>
  <CharactersWithSpaces>8952</CharactersWithSpaces>
  <SharedDoc>false</SharedDoc>
  <HLinks>
    <vt:vector size="24" baseType="variant">
      <vt:variant>
        <vt:i4>3473485</vt:i4>
      </vt:variant>
      <vt:variant>
        <vt:i4>6</vt:i4>
      </vt:variant>
      <vt:variant>
        <vt:i4>0</vt:i4>
      </vt:variant>
      <vt:variant>
        <vt:i4>5</vt:i4>
      </vt:variant>
      <vt:variant>
        <vt:lpwstr>http://www.doa.virginia.gov/Payroll/Payroll_Main.cfm</vt:lpwstr>
      </vt:variant>
      <vt:variant>
        <vt:lpwstr/>
      </vt:variant>
      <vt:variant>
        <vt:i4>1114131</vt:i4>
      </vt:variant>
      <vt:variant>
        <vt:i4>3</vt:i4>
      </vt:variant>
      <vt:variant>
        <vt:i4>0</vt:i4>
      </vt:variant>
      <vt:variant>
        <vt:i4>5</vt:i4>
      </vt:variant>
      <vt:variant>
        <vt:lpwstr>http://www.varetire.org/Pdf/Publications/er-manual-ch5-life-insurance.pdf</vt:lpwstr>
      </vt:variant>
      <vt:variant>
        <vt:lpwstr/>
      </vt:variant>
      <vt:variant>
        <vt:i4>8061003</vt:i4>
      </vt:variant>
      <vt:variant>
        <vt:i4>0</vt:i4>
      </vt:variant>
      <vt:variant>
        <vt:i4>0</vt:i4>
      </vt:variant>
      <vt:variant>
        <vt:i4>5</vt:i4>
      </vt:variant>
      <vt:variant>
        <vt:lpwstr>mailto:cathy.mcgill@doa.virginia.gov</vt:lpwstr>
      </vt:variant>
      <vt:variant>
        <vt:lpwstr/>
      </vt:variant>
      <vt:variant>
        <vt:i4>6619207</vt:i4>
      </vt:variant>
      <vt:variant>
        <vt:i4>6</vt:i4>
      </vt:variant>
      <vt:variant>
        <vt:i4>0</vt:i4>
      </vt:variant>
      <vt:variant>
        <vt:i4>5</vt:i4>
      </vt:variant>
      <vt:variant>
        <vt:lpwstr>http://www.doa.virginia.gov/Payroll/Payroll_Bulletins/Payroll_Bulletins_Main.cfm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Payroll Bulletin 2015-12</dc:title>
  <dc:subject>Payroll Bulletin 2015-12</dc:subject>
  <dc:creator>Virginia Department of Accounts</dc:creator>
  <cp:keywords>Payroll Bulletin 2015-12</cp:keywords>
  <dc:description>Payroll Bulletin 2015-12</dc:description>
  <cp:lastModifiedBy>McGill, Cathy (DOA)</cp:lastModifiedBy>
  <cp:revision>9</cp:revision>
  <cp:lastPrinted>2017-10-30T17:23:00Z</cp:lastPrinted>
  <dcterms:created xsi:type="dcterms:W3CDTF">2024-10-08T12:53:00Z</dcterms:created>
  <dcterms:modified xsi:type="dcterms:W3CDTF">2024-11-15T17:37:00Z</dcterms:modified>
  <cp:category>Payroll Bulletin 2015-12</cp:category>
</cp:coreProperties>
</file>