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2E1B" w14:textId="77777777" w:rsidR="007C617C" w:rsidRDefault="007C617C" w:rsidP="000F6A8F">
      <w:pPr>
        <w:pStyle w:val="Header"/>
        <w:pBdr>
          <w:top w:val="single" w:sz="12" w:space="1" w:color="auto" w:shadow="1"/>
          <w:left w:val="single" w:sz="12" w:space="0" w:color="auto" w:shadow="1"/>
          <w:bottom w:val="single" w:sz="12" w:space="1" w:color="auto" w:shadow="1"/>
          <w:right w:val="single" w:sz="12" w:space="1" w:color="auto" w:shadow="1"/>
        </w:pBdr>
        <w:ind w:right="36"/>
        <w:jc w:val="center"/>
        <w:rPr>
          <w:b/>
          <w:i/>
          <w:sz w:val="36"/>
        </w:rPr>
      </w:pPr>
      <w:r>
        <w:rPr>
          <w:b/>
          <w:i/>
          <w:sz w:val="36"/>
        </w:rPr>
        <w:t>Department of Accounts</w:t>
      </w:r>
    </w:p>
    <w:p w14:paraId="7F36A53C" w14:textId="77777777" w:rsidR="007C617C" w:rsidRDefault="007C617C" w:rsidP="000F6A8F">
      <w:pPr>
        <w:pStyle w:val="Header"/>
        <w:pBdr>
          <w:top w:val="single" w:sz="12" w:space="1" w:color="auto" w:shadow="1"/>
          <w:left w:val="single" w:sz="12" w:space="0" w:color="auto" w:shadow="1"/>
          <w:bottom w:val="single" w:sz="12" w:space="1" w:color="auto" w:shadow="1"/>
          <w:right w:val="single" w:sz="12" w:space="1" w:color="auto" w:shadow="1"/>
        </w:pBdr>
        <w:ind w:right="36"/>
        <w:jc w:val="center"/>
        <w:rPr>
          <w:b/>
          <w:i/>
          <w:sz w:val="36"/>
        </w:rPr>
      </w:pPr>
      <w:r>
        <w:rPr>
          <w:b/>
          <w:i/>
          <w:sz w:val="36"/>
        </w:rPr>
        <w:t>Payroll Bulletin</w:t>
      </w:r>
    </w:p>
    <w:p w14:paraId="6E6DF06C" w14:textId="77777777" w:rsidR="007C617C" w:rsidRDefault="007C617C">
      <w:pPr>
        <w:pStyle w:val="Header"/>
        <w:jc w:val="center"/>
        <w:rPr>
          <w:sz w:val="16"/>
        </w:rPr>
      </w:pPr>
    </w:p>
    <w:tbl>
      <w:tblPr>
        <w:tblW w:w="0" w:type="auto"/>
        <w:tblInd w:w="108" w:type="dxa"/>
        <w:tblLayout w:type="fixed"/>
        <w:tblLook w:val="0000" w:firstRow="0" w:lastRow="0" w:firstColumn="0" w:lastColumn="0" w:noHBand="0" w:noVBand="0"/>
      </w:tblPr>
      <w:tblGrid>
        <w:gridCol w:w="3510"/>
        <w:gridCol w:w="3690"/>
        <w:gridCol w:w="3600"/>
      </w:tblGrid>
      <w:tr w:rsidR="007C617C" w14:paraId="560C7401" w14:textId="77777777" w:rsidTr="00D45FD9">
        <w:trPr>
          <w:cantSplit/>
        </w:trPr>
        <w:tc>
          <w:tcPr>
            <w:tcW w:w="3510" w:type="dxa"/>
            <w:tcBorders>
              <w:bottom w:val="double" w:sz="6" w:space="0" w:color="auto"/>
            </w:tcBorders>
          </w:tcPr>
          <w:p w14:paraId="0AAD425E" w14:textId="4ACAB41A" w:rsidR="007C617C" w:rsidRDefault="007C617C" w:rsidP="00CF0F7F">
            <w:pPr>
              <w:pStyle w:val="Header"/>
              <w:rPr>
                <w:b/>
                <w:sz w:val="20"/>
              </w:rPr>
            </w:pPr>
            <w:r>
              <w:rPr>
                <w:b/>
                <w:sz w:val="20"/>
              </w:rPr>
              <w:t xml:space="preserve">Calendar Year </w:t>
            </w:r>
            <w:r w:rsidR="003F1980">
              <w:rPr>
                <w:b/>
                <w:sz w:val="20"/>
              </w:rPr>
              <w:t>202</w:t>
            </w:r>
            <w:r w:rsidR="00931BD7">
              <w:rPr>
                <w:b/>
                <w:sz w:val="20"/>
              </w:rPr>
              <w:t>4</w:t>
            </w:r>
          </w:p>
        </w:tc>
        <w:tc>
          <w:tcPr>
            <w:tcW w:w="3690" w:type="dxa"/>
            <w:tcBorders>
              <w:bottom w:val="double" w:sz="6" w:space="0" w:color="auto"/>
            </w:tcBorders>
          </w:tcPr>
          <w:p w14:paraId="33D7CF9D" w14:textId="469C79BA" w:rsidR="007C617C" w:rsidRDefault="00AC799B" w:rsidP="00D32DFB">
            <w:pPr>
              <w:pStyle w:val="Header"/>
              <w:jc w:val="center"/>
              <w:rPr>
                <w:b/>
                <w:sz w:val="20"/>
              </w:rPr>
            </w:pPr>
            <w:r>
              <w:rPr>
                <w:b/>
                <w:sz w:val="20"/>
              </w:rPr>
              <w:t xml:space="preserve">August </w:t>
            </w:r>
            <w:r w:rsidR="000B4D3B">
              <w:rPr>
                <w:b/>
                <w:sz w:val="20"/>
              </w:rPr>
              <w:t>22</w:t>
            </w:r>
            <w:r w:rsidR="008411C2">
              <w:rPr>
                <w:b/>
                <w:sz w:val="20"/>
              </w:rPr>
              <w:t xml:space="preserve">, </w:t>
            </w:r>
            <w:r w:rsidR="003F1980">
              <w:rPr>
                <w:b/>
                <w:sz w:val="20"/>
              </w:rPr>
              <w:t>202</w:t>
            </w:r>
            <w:r w:rsidR="00931BD7">
              <w:rPr>
                <w:b/>
                <w:sz w:val="20"/>
              </w:rPr>
              <w:t>4</w:t>
            </w:r>
          </w:p>
        </w:tc>
        <w:tc>
          <w:tcPr>
            <w:tcW w:w="3600" w:type="dxa"/>
            <w:tcBorders>
              <w:bottom w:val="double" w:sz="6" w:space="0" w:color="auto"/>
            </w:tcBorders>
          </w:tcPr>
          <w:p w14:paraId="79448E1A" w14:textId="59F7F0D9" w:rsidR="007C617C" w:rsidRDefault="007C617C" w:rsidP="00383489">
            <w:pPr>
              <w:pStyle w:val="Header"/>
              <w:jc w:val="right"/>
              <w:rPr>
                <w:b/>
                <w:sz w:val="20"/>
              </w:rPr>
            </w:pPr>
            <w:r>
              <w:rPr>
                <w:b/>
                <w:sz w:val="20"/>
              </w:rPr>
              <w:t xml:space="preserve">Volume </w:t>
            </w:r>
            <w:r w:rsidR="00AC799B">
              <w:rPr>
                <w:b/>
                <w:sz w:val="20"/>
              </w:rPr>
              <w:t>#</w:t>
            </w:r>
            <w:r w:rsidR="003F1980">
              <w:rPr>
                <w:b/>
                <w:sz w:val="20"/>
              </w:rPr>
              <w:t>202</w:t>
            </w:r>
            <w:r w:rsidR="00931BD7">
              <w:rPr>
                <w:b/>
                <w:sz w:val="20"/>
              </w:rPr>
              <w:t>4</w:t>
            </w:r>
            <w:r w:rsidR="000F3E48">
              <w:rPr>
                <w:b/>
                <w:sz w:val="20"/>
              </w:rPr>
              <w:t>-</w:t>
            </w:r>
            <w:r w:rsidR="00AC799B">
              <w:rPr>
                <w:b/>
                <w:sz w:val="20"/>
              </w:rPr>
              <w:t>10</w:t>
            </w:r>
          </w:p>
        </w:tc>
      </w:tr>
    </w:tbl>
    <w:p w14:paraId="36CB2E3E" w14:textId="77777777" w:rsidR="00ED0B4A" w:rsidRPr="00D467F1" w:rsidRDefault="00ED0B4A" w:rsidP="00ED0B4A">
      <w:pPr>
        <w:rPr>
          <w:sz w:val="16"/>
          <w:szCs w:val="16"/>
        </w:rPr>
      </w:pPr>
    </w:p>
    <w:tbl>
      <w:tblPr>
        <w:tblW w:w="0" w:type="auto"/>
        <w:jc w:val="center"/>
        <w:tblLook w:val="01E0" w:firstRow="1" w:lastRow="1" w:firstColumn="1" w:lastColumn="1" w:noHBand="0" w:noVBand="0"/>
      </w:tblPr>
      <w:tblGrid>
        <w:gridCol w:w="2447"/>
        <w:gridCol w:w="4112"/>
        <w:gridCol w:w="4200"/>
      </w:tblGrid>
      <w:tr w:rsidR="002775F4" w14:paraId="5C5F6744" w14:textId="77777777" w:rsidTr="00D45FD9">
        <w:trPr>
          <w:jc w:val="center"/>
        </w:trPr>
        <w:tc>
          <w:tcPr>
            <w:tcW w:w="2447" w:type="dxa"/>
          </w:tcPr>
          <w:p w14:paraId="2BB9DF3C" w14:textId="77777777" w:rsidR="002775F4" w:rsidRPr="00574373" w:rsidRDefault="002775F4" w:rsidP="00574373">
            <w:pPr>
              <w:tabs>
                <w:tab w:val="left" w:pos="990"/>
              </w:tabs>
              <w:spacing w:before="120"/>
              <w:rPr>
                <w:i/>
                <w:sz w:val="32"/>
                <w:szCs w:val="32"/>
              </w:rPr>
            </w:pPr>
            <w:r w:rsidRPr="00574373">
              <w:rPr>
                <w:i/>
                <w:sz w:val="32"/>
                <w:szCs w:val="32"/>
              </w:rPr>
              <w:t>In This Issue of the Payroll Bulletin…....</w:t>
            </w:r>
          </w:p>
          <w:p w14:paraId="14B5CB0E" w14:textId="77777777" w:rsidR="002775F4" w:rsidRPr="00574373" w:rsidRDefault="002775F4" w:rsidP="00574373">
            <w:pPr>
              <w:spacing w:before="120"/>
              <w:rPr>
                <w:b/>
              </w:rPr>
            </w:pPr>
          </w:p>
        </w:tc>
        <w:tc>
          <w:tcPr>
            <w:tcW w:w="4112" w:type="dxa"/>
          </w:tcPr>
          <w:p w14:paraId="6925DF16" w14:textId="77777777" w:rsidR="00780A2B" w:rsidRDefault="00613AE7" w:rsidP="00613AE7">
            <w:pPr>
              <w:numPr>
                <w:ilvl w:val="0"/>
                <w:numId w:val="1"/>
              </w:numPr>
              <w:tabs>
                <w:tab w:val="left" w:pos="990"/>
              </w:tabs>
              <w:spacing w:before="60"/>
              <w:ind w:left="547"/>
              <w:rPr>
                <w:b/>
                <w:sz w:val="20"/>
              </w:rPr>
            </w:pPr>
            <w:r w:rsidRPr="00AC799B">
              <w:rPr>
                <w:b/>
                <w:sz w:val="20"/>
              </w:rPr>
              <w:t>VRS Retirement Billing Recon – Hybrid Rate Separation</w:t>
            </w:r>
          </w:p>
          <w:p w14:paraId="4DC71C5E" w14:textId="77777777" w:rsidR="00B7776D" w:rsidRDefault="00B7776D" w:rsidP="00613AE7">
            <w:pPr>
              <w:numPr>
                <w:ilvl w:val="0"/>
                <w:numId w:val="1"/>
              </w:numPr>
              <w:tabs>
                <w:tab w:val="left" w:pos="990"/>
              </w:tabs>
              <w:spacing w:before="60"/>
              <w:ind w:left="547"/>
              <w:rPr>
                <w:b/>
                <w:sz w:val="20"/>
              </w:rPr>
            </w:pPr>
            <w:r>
              <w:rPr>
                <w:b/>
                <w:sz w:val="20"/>
              </w:rPr>
              <w:t>Other Retirement Reminders</w:t>
            </w:r>
          </w:p>
          <w:p w14:paraId="01A2A202" w14:textId="77777777" w:rsidR="00C26F55" w:rsidRDefault="00C26F55" w:rsidP="00613AE7">
            <w:pPr>
              <w:numPr>
                <w:ilvl w:val="0"/>
                <w:numId w:val="1"/>
              </w:numPr>
              <w:tabs>
                <w:tab w:val="left" w:pos="990"/>
              </w:tabs>
              <w:spacing w:before="60"/>
              <w:ind w:left="547"/>
              <w:rPr>
                <w:b/>
                <w:sz w:val="20"/>
              </w:rPr>
            </w:pPr>
            <w:r>
              <w:rPr>
                <w:b/>
                <w:sz w:val="20"/>
              </w:rPr>
              <w:t>Base Pay/RGS Comparison Report</w:t>
            </w:r>
          </w:p>
          <w:p w14:paraId="7AE1AE9B" w14:textId="1F58A202" w:rsidR="00911DAC" w:rsidRPr="00613AE7" w:rsidRDefault="00911DAC" w:rsidP="00613AE7">
            <w:pPr>
              <w:numPr>
                <w:ilvl w:val="0"/>
                <w:numId w:val="1"/>
              </w:numPr>
              <w:tabs>
                <w:tab w:val="left" w:pos="990"/>
              </w:tabs>
              <w:spacing w:before="60"/>
              <w:ind w:left="547"/>
              <w:rPr>
                <w:b/>
                <w:sz w:val="20"/>
              </w:rPr>
            </w:pPr>
            <w:r>
              <w:rPr>
                <w:b/>
                <w:sz w:val="20"/>
              </w:rPr>
              <w:t xml:space="preserve">Coming Soon – Additional Shift </w:t>
            </w:r>
            <w:r w:rsidR="004128DD">
              <w:rPr>
                <w:b/>
                <w:sz w:val="20"/>
              </w:rPr>
              <w:t>Codes</w:t>
            </w:r>
          </w:p>
        </w:tc>
        <w:tc>
          <w:tcPr>
            <w:tcW w:w="4200" w:type="dxa"/>
          </w:tcPr>
          <w:p w14:paraId="3EF46605" w14:textId="3C5F69EF" w:rsidR="002775F4" w:rsidRPr="00574373" w:rsidRDefault="002775F4" w:rsidP="00574373">
            <w:pPr>
              <w:tabs>
                <w:tab w:val="left" w:pos="990"/>
              </w:tabs>
              <w:spacing w:before="120"/>
              <w:rPr>
                <w:sz w:val="20"/>
              </w:rPr>
            </w:pPr>
            <w:r w:rsidRPr="00574373">
              <w:rPr>
                <w:sz w:val="20"/>
              </w:rPr>
              <w:t xml:space="preserve">The Payroll Bulletin is published periodically to provide </w:t>
            </w:r>
            <w:r w:rsidR="00B51479">
              <w:rPr>
                <w:sz w:val="20"/>
              </w:rPr>
              <w:t>HCM</w:t>
            </w:r>
            <w:r w:rsidRPr="00574373">
              <w:rPr>
                <w:sz w:val="20"/>
              </w:rPr>
              <w:t xml:space="preserve"> agencies guidance regarding Commonwealth payroll operations.  If you have any questions ab</w:t>
            </w:r>
            <w:r w:rsidR="00022E7D">
              <w:rPr>
                <w:sz w:val="20"/>
              </w:rPr>
              <w:t>out the bulletin, please e</w:t>
            </w:r>
            <w:r w:rsidRPr="00574373">
              <w:rPr>
                <w:sz w:val="20"/>
              </w:rPr>
              <w:t xml:space="preserve">mail </w:t>
            </w:r>
            <w:r w:rsidR="00395AFF">
              <w:rPr>
                <w:sz w:val="20"/>
              </w:rPr>
              <w:t>payroll@doa.virginia.gov.</w:t>
            </w:r>
          </w:p>
          <w:p w14:paraId="40FAB571" w14:textId="77777777" w:rsidR="002775F4" w:rsidRPr="00574373" w:rsidRDefault="002775F4" w:rsidP="00574373">
            <w:pPr>
              <w:tabs>
                <w:tab w:val="left" w:pos="990"/>
              </w:tabs>
              <w:spacing w:before="120"/>
              <w:jc w:val="both"/>
              <w:rPr>
                <w:sz w:val="20"/>
                <w:u w:val="single"/>
              </w:rPr>
            </w:pPr>
            <w:r w:rsidRPr="00574373">
              <w:rPr>
                <w:sz w:val="20"/>
                <w:u w:val="single"/>
              </w:rPr>
              <w:t>State Payroll Operations</w:t>
            </w:r>
          </w:p>
          <w:p w14:paraId="6D0F91E8" w14:textId="77777777" w:rsidR="002775F4" w:rsidRPr="00574373" w:rsidRDefault="002775F4" w:rsidP="00574373">
            <w:pPr>
              <w:tabs>
                <w:tab w:val="left" w:pos="990"/>
              </w:tabs>
              <w:spacing w:before="120"/>
              <w:rPr>
                <w:sz w:val="20"/>
              </w:rPr>
            </w:pPr>
            <w:r w:rsidRPr="00574373">
              <w:rPr>
                <w:b/>
                <w:sz w:val="20"/>
              </w:rPr>
              <w:t xml:space="preserve">Director                        </w:t>
            </w:r>
            <w:r w:rsidR="00046B8C">
              <w:rPr>
                <w:b/>
                <w:sz w:val="20"/>
              </w:rPr>
              <w:t xml:space="preserve">      </w:t>
            </w:r>
            <w:r w:rsidRPr="00574373">
              <w:rPr>
                <w:b/>
                <w:sz w:val="20"/>
              </w:rPr>
              <w:t xml:space="preserve"> </w:t>
            </w:r>
            <w:r w:rsidR="00485721">
              <w:rPr>
                <w:b/>
                <w:sz w:val="20"/>
              </w:rPr>
              <w:t>Cathy C McGill</w:t>
            </w:r>
          </w:p>
          <w:p w14:paraId="095D53AA" w14:textId="77777777" w:rsidR="002775F4" w:rsidRPr="00574373" w:rsidRDefault="001B0195" w:rsidP="00485721">
            <w:pPr>
              <w:tabs>
                <w:tab w:val="left" w:pos="990"/>
              </w:tabs>
              <w:spacing w:before="120"/>
              <w:rPr>
                <w:szCs w:val="24"/>
              </w:rPr>
            </w:pPr>
            <w:r>
              <w:rPr>
                <w:sz w:val="20"/>
              </w:rPr>
              <w:t>Assistant</w:t>
            </w:r>
            <w:r w:rsidR="00824D78">
              <w:rPr>
                <w:sz w:val="20"/>
              </w:rPr>
              <w:t xml:space="preserve"> </w:t>
            </w:r>
            <w:r w:rsidR="002775F4" w:rsidRPr="00574373">
              <w:rPr>
                <w:sz w:val="20"/>
              </w:rPr>
              <w:t xml:space="preserve">Director         </w:t>
            </w:r>
            <w:r w:rsidR="00C51EFD">
              <w:rPr>
                <w:sz w:val="20"/>
              </w:rPr>
              <w:t xml:space="preserve">    </w:t>
            </w:r>
            <w:r w:rsidR="002775F4" w:rsidRPr="00574373">
              <w:rPr>
                <w:sz w:val="20"/>
              </w:rPr>
              <w:t xml:space="preserve"> </w:t>
            </w:r>
            <w:r w:rsidR="00046B8C">
              <w:rPr>
                <w:sz w:val="20"/>
              </w:rPr>
              <w:t xml:space="preserve"> </w:t>
            </w:r>
            <w:r w:rsidR="00485721">
              <w:rPr>
                <w:sz w:val="20"/>
              </w:rPr>
              <w:t>Carmelita Holmes</w:t>
            </w:r>
          </w:p>
        </w:tc>
      </w:tr>
    </w:tbl>
    <w:p w14:paraId="5309729E" w14:textId="77777777" w:rsidR="002F6F61" w:rsidRPr="00D467F1" w:rsidRDefault="002F6F61" w:rsidP="002F6F61">
      <w:pPr>
        <w:pStyle w:val="BlockLine"/>
        <w:ind w:left="1620"/>
        <w:rPr>
          <w:sz w:val="16"/>
          <w:szCs w:val="16"/>
        </w:rPr>
      </w:pPr>
    </w:p>
    <w:p w14:paraId="35E2E700" w14:textId="77777777" w:rsidR="00AC799B" w:rsidRPr="00AC799B" w:rsidRDefault="00AC799B" w:rsidP="00AC799B">
      <w:pPr>
        <w:rPr>
          <w:b/>
          <w:szCs w:val="24"/>
        </w:rPr>
      </w:pPr>
      <w:bookmarkStart w:id="0" w:name="_Hlk174944596"/>
      <w:r w:rsidRPr="00AC799B">
        <w:rPr>
          <w:b/>
          <w:szCs w:val="24"/>
        </w:rPr>
        <w:t>VRS Retirement Billing Recon – Hybrid Rate Separation</w:t>
      </w:r>
    </w:p>
    <w:p w14:paraId="5CC4ABF6" w14:textId="77777777" w:rsidR="00AC799B" w:rsidRPr="00AC799B" w:rsidRDefault="00AC799B" w:rsidP="00AC799B">
      <w:pPr>
        <w:pBdr>
          <w:top w:val="single" w:sz="6" w:space="1" w:color="auto"/>
          <w:between w:val="single" w:sz="6" w:space="1" w:color="auto"/>
        </w:pBdr>
        <w:spacing w:before="240"/>
        <w:ind w:left="1700"/>
        <w:rPr>
          <w:b/>
          <w:sz w:val="16"/>
          <w:szCs w:val="16"/>
        </w:rPr>
      </w:pPr>
    </w:p>
    <w:tbl>
      <w:tblPr>
        <w:tblW w:w="10893" w:type="dxa"/>
        <w:tblInd w:w="-3" w:type="dxa"/>
        <w:tblCellMar>
          <w:left w:w="0" w:type="dxa"/>
          <w:right w:w="0" w:type="dxa"/>
        </w:tblCellMar>
        <w:tblLook w:val="04A0" w:firstRow="1" w:lastRow="0" w:firstColumn="1" w:lastColumn="0" w:noHBand="0" w:noVBand="1"/>
      </w:tblPr>
      <w:tblGrid>
        <w:gridCol w:w="1728"/>
        <w:gridCol w:w="9165"/>
      </w:tblGrid>
      <w:tr w:rsidR="00AC799B" w:rsidRPr="00AC799B" w14:paraId="1670AF4A" w14:textId="77777777" w:rsidTr="00A56643">
        <w:trPr>
          <w:cantSplit/>
        </w:trPr>
        <w:tc>
          <w:tcPr>
            <w:tcW w:w="1728" w:type="dxa"/>
            <w:tcMar>
              <w:top w:w="0" w:type="dxa"/>
              <w:left w:w="108" w:type="dxa"/>
              <w:bottom w:w="0" w:type="dxa"/>
              <w:right w:w="108" w:type="dxa"/>
            </w:tcMar>
            <w:hideMark/>
          </w:tcPr>
          <w:bookmarkEnd w:id="0"/>
          <w:p w14:paraId="0005E8B8" w14:textId="77777777" w:rsidR="00AC799B" w:rsidRPr="00AC799B" w:rsidRDefault="00AC799B" w:rsidP="00AC799B">
            <w:pPr>
              <w:spacing w:line="252" w:lineRule="auto"/>
              <w:outlineLvl w:val="4"/>
              <w:rPr>
                <w:b/>
                <w:bCs/>
                <w:sz w:val="22"/>
                <w:szCs w:val="22"/>
              </w:rPr>
            </w:pPr>
            <w:r w:rsidRPr="00AC799B">
              <w:rPr>
                <w:b/>
                <w:bCs/>
                <w:sz w:val="22"/>
                <w:szCs w:val="22"/>
              </w:rPr>
              <w:t>VRS Retirement Billing Recon</w:t>
            </w:r>
          </w:p>
        </w:tc>
        <w:tc>
          <w:tcPr>
            <w:tcW w:w="9165" w:type="dxa"/>
            <w:tcMar>
              <w:top w:w="0" w:type="dxa"/>
              <w:left w:w="108" w:type="dxa"/>
              <w:bottom w:w="0" w:type="dxa"/>
              <w:right w:w="108" w:type="dxa"/>
            </w:tcMar>
          </w:tcPr>
          <w:p w14:paraId="7DBD80FB" w14:textId="4F409C58" w:rsidR="00AC799B" w:rsidRPr="00AC799B" w:rsidRDefault="00AC799B" w:rsidP="00AC79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AC799B">
              <w:rPr>
                <w:rFonts w:eastAsia="Aptos"/>
                <w:sz w:val="20"/>
              </w:rPr>
              <w:t xml:space="preserve">The VRS Retirement Billing Reconciliation process has been </w:t>
            </w:r>
            <w:r w:rsidR="0009611F">
              <w:rPr>
                <w:rFonts w:eastAsia="Aptos"/>
                <w:sz w:val="20"/>
              </w:rPr>
              <w:t>updated</w:t>
            </w:r>
            <w:r w:rsidR="0009611F" w:rsidRPr="00AC799B">
              <w:rPr>
                <w:rFonts w:eastAsia="Aptos"/>
                <w:sz w:val="20"/>
              </w:rPr>
              <w:t xml:space="preserve"> </w:t>
            </w:r>
            <w:r w:rsidRPr="00AC799B">
              <w:rPr>
                <w:rFonts w:eastAsia="Aptos"/>
                <w:sz w:val="20"/>
              </w:rPr>
              <w:t xml:space="preserve">to </w:t>
            </w:r>
            <w:r w:rsidR="0009611F">
              <w:rPr>
                <w:rFonts w:eastAsia="Aptos"/>
                <w:sz w:val="20"/>
              </w:rPr>
              <w:t>comply</w:t>
            </w:r>
            <w:r w:rsidR="0009611F" w:rsidRPr="00AC799B">
              <w:rPr>
                <w:rFonts w:eastAsia="Aptos"/>
                <w:sz w:val="20"/>
              </w:rPr>
              <w:t xml:space="preserve"> </w:t>
            </w:r>
            <w:r w:rsidRPr="00AC799B">
              <w:rPr>
                <w:rFonts w:eastAsia="Aptos"/>
                <w:sz w:val="20"/>
              </w:rPr>
              <w:t xml:space="preserve">with VRS’ Hybrid Rate Separation, which was effective 7/1/2024, and to </w:t>
            </w:r>
            <w:r w:rsidR="0009611F">
              <w:rPr>
                <w:rFonts w:eastAsia="Aptos"/>
                <w:sz w:val="20"/>
              </w:rPr>
              <w:t>correct</w:t>
            </w:r>
            <w:r w:rsidRPr="00AC799B">
              <w:rPr>
                <w:rFonts w:eastAsia="Aptos"/>
                <w:sz w:val="20"/>
              </w:rPr>
              <w:t xml:space="preserve"> issue</w:t>
            </w:r>
            <w:r w:rsidR="0009611F">
              <w:rPr>
                <w:rFonts w:eastAsia="Aptos"/>
                <w:sz w:val="20"/>
              </w:rPr>
              <w:t>s</w:t>
            </w:r>
            <w:r w:rsidRPr="00AC799B">
              <w:rPr>
                <w:rFonts w:eastAsia="Aptos"/>
                <w:sz w:val="20"/>
              </w:rPr>
              <w:t xml:space="preserve"> where incorrect VRS Org Code</w:t>
            </w:r>
            <w:r w:rsidR="0009611F">
              <w:rPr>
                <w:rFonts w:eastAsia="Aptos"/>
                <w:sz w:val="20"/>
              </w:rPr>
              <w:t>s</w:t>
            </w:r>
            <w:r w:rsidRPr="00AC799B">
              <w:rPr>
                <w:rFonts w:eastAsia="Aptos"/>
                <w:sz w:val="20"/>
              </w:rPr>
              <w:t xml:space="preserve"> </w:t>
            </w:r>
            <w:r w:rsidR="0009611F">
              <w:rPr>
                <w:rFonts w:eastAsia="Aptos"/>
                <w:sz w:val="20"/>
              </w:rPr>
              <w:t xml:space="preserve">were </w:t>
            </w:r>
            <w:r w:rsidRPr="00AC799B">
              <w:rPr>
                <w:rFonts w:eastAsia="Aptos"/>
                <w:sz w:val="20"/>
              </w:rPr>
              <w:t xml:space="preserve">matched with unbilled payroll activity. </w:t>
            </w:r>
            <w:r w:rsidR="0009611F">
              <w:rPr>
                <w:rFonts w:eastAsia="Aptos"/>
                <w:sz w:val="20"/>
              </w:rPr>
              <w:t xml:space="preserve">Beginning </w:t>
            </w:r>
            <w:r w:rsidRPr="00AC799B">
              <w:rPr>
                <w:rFonts w:eastAsia="Aptos"/>
                <w:sz w:val="20"/>
              </w:rPr>
              <w:t>with the July 2024 billing cycle:</w:t>
            </w:r>
          </w:p>
          <w:p w14:paraId="6A0A087B" w14:textId="223823D6" w:rsidR="00AC799B" w:rsidRPr="00AC799B" w:rsidRDefault="00AC799B" w:rsidP="00AC799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sidRPr="00AC799B">
              <w:rPr>
                <w:rFonts w:eastAsia="Aptos"/>
                <w:sz w:val="20"/>
              </w:rPr>
              <w:t xml:space="preserve">Hybrid Retirement Defined Benefit (DB) employer contributions for plans HVRMDB and HJRMDB </w:t>
            </w:r>
            <w:r w:rsidR="0009611F">
              <w:rPr>
                <w:rFonts w:eastAsia="Aptos"/>
                <w:sz w:val="20"/>
              </w:rPr>
              <w:t xml:space="preserve">will now be </w:t>
            </w:r>
            <w:r w:rsidRPr="00AC799B">
              <w:rPr>
                <w:rFonts w:eastAsia="Aptos"/>
                <w:sz w:val="20"/>
              </w:rPr>
              <w:t>reconciled with the employer retirement amount</w:t>
            </w:r>
            <w:r w:rsidR="0009611F">
              <w:rPr>
                <w:rFonts w:eastAsia="Aptos"/>
                <w:sz w:val="20"/>
              </w:rPr>
              <w:t>s specified</w:t>
            </w:r>
            <w:r w:rsidRPr="00AC799B">
              <w:rPr>
                <w:rFonts w:eastAsia="Aptos"/>
                <w:sz w:val="20"/>
              </w:rPr>
              <w:t xml:space="preserve"> on the </w:t>
            </w:r>
            <w:r w:rsidR="0009611F">
              <w:rPr>
                <w:rFonts w:eastAsia="Aptos"/>
                <w:sz w:val="20"/>
              </w:rPr>
              <w:t xml:space="preserve">VRS </w:t>
            </w:r>
            <w:r w:rsidRPr="00AC799B">
              <w:rPr>
                <w:rFonts w:eastAsia="Aptos"/>
                <w:sz w:val="20"/>
              </w:rPr>
              <w:t xml:space="preserve">billing file. </w:t>
            </w:r>
          </w:p>
          <w:p w14:paraId="32EBADA0" w14:textId="2FB9ADEC" w:rsidR="00AC799B" w:rsidRPr="00AC799B" w:rsidRDefault="00AC799B" w:rsidP="00AC799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14:ligatures w14:val="standardContextual"/>
              </w:rPr>
            </w:pPr>
            <w:r w:rsidRPr="00AC799B">
              <w:rPr>
                <w:rFonts w:eastAsia="Aptos"/>
                <w:sz w:val="20"/>
              </w:rPr>
              <w:t xml:space="preserve">Payroll amounts </w:t>
            </w:r>
            <w:r w:rsidR="005B2687">
              <w:rPr>
                <w:rFonts w:eastAsia="Aptos"/>
                <w:sz w:val="20"/>
              </w:rPr>
              <w:t>will be</w:t>
            </w:r>
            <w:r w:rsidR="005B2687" w:rsidRPr="00AC799B">
              <w:rPr>
                <w:rFonts w:eastAsia="Aptos"/>
                <w:sz w:val="20"/>
              </w:rPr>
              <w:t xml:space="preserve"> </w:t>
            </w:r>
            <w:r w:rsidRPr="00AC799B">
              <w:rPr>
                <w:rFonts w:eastAsia="Aptos"/>
                <w:sz w:val="20"/>
              </w:rPr>
              <w:t xml:space="preserve">matched with the </w:t>
            </w:r>
            <w:r w:rsidR="005B2687">
              <w:rPr>
                <w:rFonts w:eastAsia="Aptos"/>
                <w:sz w:val="20"/>
              </w:rPr>
              <w:t xml:space="preserve">appropriate </w:t>
            </w:r>
            <w:r w:rsidRPr="00AC799B">
              <w:rPr>
                <w:rFonts w:eastAsia="Aptos"/>
                <w:sz w:val="20"/>
              </w:rPr>
              <w:t xml:space="preserve">VRS Org Code for the deduction code, </w:t>
            </w:r>
            <w:r w:rsidR="005B2687">
              <w:rPr>
                <w:rFonts w:eastAsia="Aptos"/>
                <w:sz w:val="20"/>
              </w:rPr>
              <w:t xml:space="preserve">ensuring accuracy even if </w:t>
            </w:r>
            <w:r w:rsidRPr="00AC799B">
              <w:rPr>
                <w:rFonts w:eastAsia="Aptos"/>
                <w:sz w:val="20"/>
              </w:rPr>
              <w:t>the VRS Org Code on the employee’s Job record is different.</w:t>
            </w:r>
          </w:p>
        </w:tc>
      </w:tr>
    </w:tbl>
    <w:p w14:paraId="463B3730" w14:textId="77777777" w:rsidR="00AC799B" w:rsidRPr="00AC799B" w:rsidRDefault="00AC799B" w:rsidP="00AC799B">
      <w:pPr>
        <w:pBdr>
          <w:top w:val="single" w:sz="6" w:space="1" w:color="auto"/>
          <w:between w:val="single" w:sz="6" w:space="1" w:color="auto"/>
        </w:pBdr>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AC799B" w14:paraId="27EC957E" w14:textId="77777777" w:rsidTr="00A56643">
        <w:tc>
          <w:tcPr>
            <w:tcW w:w="1713" w:type="dxa"/>
            <w:tcMar>
              <w:top w:w="0" w:type="dxa"/>
              <w:left w:w="108" w:type="dxa"/>
              <w:bottom w:w="0" w:type="dxa"/>
              <w:right w:w="108" w:type="dxa"/>
            </w:tcMar>
            <w:hideMark/>
          </w:tcPr>
          <w:p w14:paraId="68C114A9" w14:textId="77777777" w:rsidR="00AC799B" w:rsidRPr="00AC799B" w:rsidRDefault="00AC799B" w:rsidP="00AC799B">
            <w:pPr>
              <w:rPr>
                <w:b/>
                <w:bCs/>
                <w:sz w:val="22"/>
                <w:szCs w:val="22"/>
              </w:rPr>
            </w:pPr>
            <w:r w:rsidRPr="00AC799B">
              <w:rPr>
                <w:b/>
                <w:bCs/>
                <w:sz w:val="22"/>
                <w:szCs w:val="22"/>
              </w:rPr>
              <w:t>VRS Billing Details Query (RHR077)</w:t>
            </w:r>
          </w:p>
        </w:tc>
        <w:tc>
          <w:tcPr>
            <w:tcW w:w="9090" w:type="dxa"/>
            <w:tcMar>
              <w:left w:w="115" w:type="dxa"/>
              <w:right w:w="115" w:type="dxa"/>
            </w:tcMar>
          </w:tcPr>
          <w:p w14:paraId="52428AA2" w14:textId="3530682A" w:rsidR="00AC799B" w:rsidRPr="00AC799B" w:rsidRDefault="00AC799B" w:rsidP="00AC799B">
            <w:pPr>
              <w:rPr>
                <w:rFonts w:eastAsia="Aptos"/>
                <w:sz w:val="20"/>
              </w:rPr>
            </w:pPr>
            <w:r w:rsidRPr="00AC799B">
              <w:rPr>
                <w:rFonts w:eastAsia="Aptos"/>
                <w:sz w:val="20"/>
              </w:rPr>
              <w:t xml:space="preserve">This report </w:t>
            </w:r>
            <w:r w:rsidR="0009611F">
              <w:rPr>
                <w:rFonts w:eastAsia="Aptos"/>
                <w:sz w:val="20"/>
              </w:rPr>
              <w:t xml:space="preserve">has been </w:t>
            </w:r>
            <w:r w:rsidRPr="00AC799B">
              <w:rPr>
                <w:rFonts w:eastAsia="Aptos"/>
                <w:sz w:val="20"/>
              </w:rPr>
              <w:t xml:space="preserve">updated to </w:t>
            </w:r>
            <w:r w:rsidR="0009611F">
              <w:rPr>
                <w:rFonts w:eastAsia="Aptos"/>
                <w:sz w:val="20"/>
              </w:rPr>
              <w:t>address</w:t>
            </w:r>
            <w:r w:rsidR="0009611F" w:rsidRPr="00AC799B">
              <w:rPr>
                <w:rFonts w:eastAsia="Aptos"/>
                <w:sz w:val="20"/>
              </w:rPr>
              <w:t xml:space="preserve"> </w:t>
            </w:r>
            <w:r w:rsidRPr="00AC799B">
              <w:rPr>
                <w:rFonts w:eastAsia="Aptos"/>
                <w:sz w:val="20"/>
              </w:rPr>
              <w:t>existing issues and to provide additional information. Changes include:</w:t>
            </w:r>
          </w:p>
          <w:p w14:paraId="5DCD50A0" w14:textId="2D9BD9A9" w:rsidR="00AC799B" w:rsidRPr="00AC799B" w:rsidRDefault="00AC799B" w:rsidP="00AC799B">
            <w:pPr>
              <w:numPr>
                <w:ilvl w:val="0"/>
                <w:numId w:val="5"/>
              </w:numPr>
              <w:contextualSpacing/>
              <w:rPr>
                <w:rFonts w:eastAsia="Aptos"/>
                <w:sz w:val="20"/>
              </w:rPr>
            </w:pPr>
            <w:r w:rsidRPr="00AC799B">
              <w:rPr>
                <w:rFonts w:eastAsia="Aptos"/>
                <w:sz w:val="20"/>
              </w:rPr>
              <w:t>Business Unit is now an optional parameter</w:t>
            </w:r>
            <w:r w:rsidR="0009611F">
              <w:rPr>
                <w:rFonts w:eastAsia="Aptos"/>
                <w:sz w:val="20"/>
              </w:rPr>
              <w:t>,</w:t>
            </w:r>
            <w:r w:rsidRPr="00AC799B">
              <w:rPr>
                <w:rFonts w:eastAsia="Aptos"/>
                <w:sz w:val="20"/>
              </w:rPr>
              <w:t xml:space="preserve"> allow</w:t>
            </w:r>
            <w:r w:rsidR="0009611F">
              <w:rPr>
                <w:rFonts w:eastAsia="Aptos"/>
                <w:sz w:val="20"/>
              </w:rPr>
              <w:t>ing</w:t>
            </w:r>
            <w:r w:rsidRPr="00AC799B">
              <w:rPr>
                <w:rFonts w:eastAsia="Aptos"/>
                <w:sz w:val="20"/>
              </w:rPr>
              <w:t xml:space="preserve"> users with access to multiple agencies to </w:t>
            </w:r>
            <w:r w:rsidR="0009611F">
              <w:rPr>
                <w:rFonts w:eastAsia="Aptos"/>
                <w:sz w:val="20"/>
              </w:rPr>
              <w:t xml:space="preserve">generate </w:t>
            </w:r>
            <w:r w:rsidRPr="00AC799B">
              <w:rPr>
                <w:rFonts w:eastAsia="Aptos"/>
                <w:sz w:val="20"/>
              </w:rPr>
              <w:t xml:space="preserve">the report for </w:t>
            </w:r>
            <w:r w:rsidR="0009611F">
              <w:rPr>
                <w:rFonts w:eastAsia="Aptos"/>
                <w:sz w:val="20"/>
              </w:rPr>
              <w:t xml:space="preserve">a specific </w:t>
            </w:r>
            <w:r w:rsidRPr="00AC799B">
              <w:rPr>
                <w:rFonts w:eastAsia="Aptos"/>
                <w:sz w:val="20"/>
              </w:rPr>
              <w:t>Business Unit.</w:t>
            </w:r>
          </w:p>
          <w:p w14:paraId="289AF9EB" w14:textId="50780C5B" w:rsidR="00AC799B" w:rsidRPr="00AC799B" w:rsidRDefault="003E5995" w:rsidP="00AC799B">
            <w:pPr>
              <w:numPr>
                <w:ilvl w:val="0"/>
                <w:numId w:val="5"/>
              </w:numPr>
              <w:contextualSpacing/>
              <w:rPr>
                <w:rFonts w:eastAsia="Aptos"/>
                <w:sz w:val="20"/>
              </w:rPr>
            </w:pPr>
            <w:r>
              <w:rPr>
                <w:rFonts w:eastAsia="Aptos"/>
                <w:sz w:val="20"/>
              </w:rPr>
              <w:t>T</w:t>
            </w:r>
            <w:r w:rsidR="0009611F">
              <w:rPr>
                <w:rFonts w:eastAsia="Aptos"/>
                <w:sz w:val="20"/>
              </w:rPr>
              <w:t xml:space="preserve">he </w:t>
            </w:r>
            <w:r w:rsidR="00AC799B" w:rsidRPr="00AC799B">
              <w:rPr>
                <w:rFonts w:eastAsia="Aptos"/>
                <w:sz w:val="20"/>
              </w:rPr>
              <w:t xml:space="preserve">issue where billed transactions were </w:t>
            </w:r>
            <w:r w:rsidR="0009611F">
              <w:rPr>
                <w:rFonts w:eastAsia="Aptos"/>
                <w:sz w:val="20"/>
              </w:rPr>
              <w:t xml:space="preserve">incorrectly </w:t>
            </w:r>
            <w:r w:rsidR="00AC799B" w:rsidRPr="00AC799B">
              <w:rPr>
                <w:rFonts w:eastAsia="Aptos"/>
                <w:sz w:val="20"/>
              </w:rPr>
              <w:t xml:space="preserve">matched with an agency/Business Unit different from the </w:t>
            </w:r>
            <w:r w:rsidR="0009611F">
              <w:rPr>
                <w:rFonts w:eastAsia="Aptos"/>
                <w:sz w:val="20"/>
              </w:rPr>
              <w:t>one</w:t>
            </w:r>
            <w:r w:rsidR="0009611F" w:rsidRPr="00AC799B">
              <w:rPr>
                <w:rFonts w:eastAsia="Aptos"/>
                <w:sz w:val="20"/>
              </w:rPr>
              <w:t xml:space="preserve"> </w:t>
            </w:r>
            <w:r w:rsidR="00AC799B" w:rsidRPr="00AC799B">
              <w:rPr>
                <w:rFonts w:eastAsia="Aptos"/>
                <w:sz w:val="20"/>
              </w:rPr>
              <w:t>on the billing file</w:t>
            </w:r>
            <w:r>
              <w:rPr>
                <w:rFonts w:eastAsia="Aptos"/>
                <w:sz w:val="20"/>
              </w:rPr>
              <w:t xml:space="preserve"> has been resolved.</w:t>
            </w:r>
          </w:p>
          <w:p w14:paraId="5C728682" w14:textId="20EF96BB" w:rsidR="00AC799B" w:rsidRPr="00AC799B" w:rsidRDefault="0009611F" w:rsidP="00AC799B">
            <w:pPr>
              <w:numPr>
                <w:ilvl w:val="0"/>
                <w:numId w:val="5"/>
              </w:numPr>
              <w:contextualSpacing/>
              <w:rPr>
                <w:rFonts w:eastAsia="Aptos"/>
                <w:sz w:val="20"/>
              </w:rPr>
            </w:pPr>
            <w:r>
              <w:rPr>
                <w:rFonts w:eastAsia="Aptos"/>
                <w:sz w:val="20"/>
              </w:rPr>
              <w:t>The r</w:t>
            </w:r>
            <w:r w:rsidR="00AC799B" w:rsidRPr="00AC799B">
              <w:rPr>
                <w:rFonts w:eastAsia="Aptos"/>
                <w:sz w:val="20"/>
              </w:rPr>
              <w:t xml:space="preserve">eport </w:t>
            </w:r>
            <w:r>
              <w:rPr>
                <w:rFonts w:eastAsia="Aptos"/>
                <w:sz w:val="20"/>
              </w:rPr>
              <w:t xml:space="preserve">now </w:t>
            </w:r>
            <w:r w:rsidR="00AC799B" w:rsidRPr="00AC799B">
              <w:rPr>
                <w:rFonts w:eastAsia="Aptos"/>
                <w:sz w:val="20"/>
              </w:rPr>
              <w:t xml:space="preserve">includes </w:t>
            </w:r>
            <w:r w:rsidR="00AC799B" w:rsidRPr="00AC799B">
              <w:rPr>
                <w:rFonts w:eastAsia="Aptos"/>
                <w:sz w:val="20"/>
                <w:u w:val="single"/>
              </w:rPr>
              <w:t>all</w:t>
            </w:r>
            <w:r w:rsidR="00AC799B" w:rsidRPr="00AC799B">
              <w:rPr>
                <w:rFonts w:eastAsia="Aptos"/>
                <w:sz w:val="20"/>
              </w:rPr>
              <w:t xml:space="preserve"> transactions on the billing file. </w:t>
            </w:r>
            <w:r>
              <w:rPr>
                <w:rFonts w:eastAsia="Aptos"/>
                <w:sz w:val="20"/>
              </w:rPr>
              <w:t>For transactions not processed by Cardinal, a</w:t>
            </w:r>
            <w:r w:rsidR="00AC799B" w:rsidRPr="00AC799B">
              <w:rPr>
                <w:rFonts w:eastAsia="Aptos"/>
                <w:sz w:val="20"/>
              </w:rPr>
              <w:t>n error indicator and error message are provided</w:t>
            </w:r>
            <w:r>
              <w:rPr>
                <w:rFonts w:eastAsia="Aptos"/>
                <w:sz w:val="20"/>
              </w:rPr>
              <w:t>.</w:t>
            </w:r>
            <w:r w:rsidR="00AC799B" w:rsidRPr="00AC799B">
              <w:rPr>
                <w:rFonts w:eastAsia="Aptos"/>
                <w:sz w:val="20"/>
              </w:rPr>
              <w:t xml:space="preserve"> </w:t>
            </w:r>
            <w:r>
              <w:rPr>
                <w:rFonts w:eastAsia="Aptos"/>
                <w:sz w:val="20"/>
              </w:rPr>
              <w:t>Please note that t</w:t>
            </w:r>
            <w:r w:rsidR="00AC799B" w:rsidRPr="00AC799B">
              <w:rPr>
                <w:rFonts w:eastAsia="Aptos"/>
                <w:sz w:val="20"/>
              </w:rPr>
              <w:t xml:space="preserve">ransactions with errors were not included in </w:t>
            </w:r>
            <w:r>
              <w:rPr>
                <w:rFonts w:eastAsia="Aptos"/>
                <w:sz w:val="20"/>
              </w:rPr>
              <w:t xml:space="preserve">previous versions </w:t>
            </w:r>
            <w:r w:rsidR="003E5995">
              <w:rPr>
                <w:rFonts w:eastAsia="Aptos"/>
                <w:sz w:val="20"/>
              </w:rPr>
              <w:t xml:space="preserve">of </w:t>
            </w:r>
            <w:r w:rsidR="00AC799B" w:rsidRPr="00AC799B">
              <w:rPr>
                <w:rFonts w:eastAsia="Aptos"/>
                <w:sz w:val="20"/>
              </w:rPr>
              <w:t>this report.</w:t>
            </w:r>
          </w:p>
          <w:p w14:paraId="309F16C6" w14:textId="77777777" w:rsidR="00AC799B" w:rsidRPr="00AC799B" w:rsidRDefault="00AC799B" w:rsidP="00AC799B">
            <w:pPr>
              <w:numPr>
                <w:ilvl w:val="0"/>
                <w:numId w:val="5"/>
              </w:numPr>
              <w:contextualSpacing/>
              <w:rPr>
                <w:rFonts w:eastAsia="Aptos"/>
                <w:sz w:val="20"/>
              </w:rPr>
            </w:pPr>
            <w:r w:rsidRPr="00AC799B">
              <w:rPr>
                <w:rFonts w:eastAsia="Aptos"/>
                <w:sz w:val="20"/>
              </w:rPr>
              <w:t>New fields:</w:t>
            </w:r>
          </w:p>
          <w:p w14:paraId="623972D5" w14:textId="77777777" w:rsidR="00AC799B" w:rsidRPr="00AC799B" w:rsidRDefault="00AC799B" w:rsidP="00AC799B">
            <w:pPr>
              <w:numPr>
                <w:ilvl w:val="1"/>
                <w:numId w:val="5"/>
              </w:numPr>
              <w:contextualSpacing/>
              <w:rPr>
                <w:rFonts w:eastAsia="Aptos"/>
                <w:sz w:val="20"/>
              </w:rPr>
            </w:pPr>
            <w:r w:rsidRPr="00AC799B">
              <w:rPr>
                <w:rFonts w:eastAsia="Aptos"/>
                <w:sz w:val="20"/>
              </w:rPr>
              <w:t>Bill Bus Unit (Business Unit derived from the Org Code on the billing file)</w:t>
            </w:r>
          </w:p>
          <w:p w14:paraId="50F74B77" w14:textId="77777777" w:rsidR="00AC799B" w:rsidRPr="00AC799B" w:rsidRDefault="00AC799B" w:rsidP="00AC799B">
            <w:pPr>
              <w:numPr>
                <w:ilvl w:val="1"/>
                <w:numId w:val="5"/>
              </w:numPr>
              <w:contextualSpacing/>
              <w:rPr>
                <w:rFonts w:eastAsia="Aptos"/>
                <w:sz w:val="20"/>
              </w:rPr>
            </w:pPr>
            <w:r w:rsidRPr="00AC799B">
              <w:rPr>
                <w:rFonts w:eastAsia="Aptos"/>
                <w:sz w:val="20"/>
              </w:rPr>
              <w:t xml:space="preserve">Cardinal VRS Org Code (Elig </w:t>
            </w:r>
            <w:proofErr w:type="spellStart"/>
            <w:r w:rsidRPr="00AC799B">
              <w:rPr>
                <w:rFonts w:eastAsia="Aptos"/>
                <w:sz w:val="20"/>
              </w:rPr>
              <w:t>Fld</w:t>
            </w:r>
            <w:proofErr w:type="spellEnd"/>
            <w:r w:rsidRPr="00AC799B">
              <w:rPr>
                <w:rFonts w:eastAsia="Aptos"/>
                <w:sz w:val="20"/>
              </w:rPr>
              <w:t xml:space="preserve"> 6 from Job)</w:t>
            </w:r>
          </w:p>
          <w:p w14:paraId="3A16F843" w14:textId="77777777" w:rsidR="00AC799B" w:rsidRPr="00AC799B" w:rsidRDefault="00AC799B" w:rsidP="00AC799B">
            <w:pPr>
              <w:numPr>
                <w:ilvl w:val="1"/>
                <w:numId w:val="5"/>
              </w:numPr>
              <w:contextualSpacing/>
              <w:rPr>
                <w:rFonts w:eastAsia="Aptos"/>
                <w:sz w:val="20"/>
              </w:rPr>
            </w:pPr>
            <w:r w:rsidRPr="00AC799B">
              <w:rPr>
                <w:rFonts w:eastAsia="Aptos"/>
                <w:sz w:val="20"/>
              </w:rPr>
              <w:t xml:space="preserve">Months-Pays (Elig </w:t>
            </w:r>
            <w:proofErr w:type="spellStart"/>
            <w:r w:rsidRPr="00AC799B">
              <w:rPr>
                <w:rFonts w:eastAsia="Aptos"/>
                <w:sz w:val="20"/>
              </w:rPr>
              <w:t>Fld</w:t>
            </w:r>
            <w:proofErr w:type="spellEnd"/>
            <w:r w:rsidRPr="00AC799B">
              <w:rPr>
                <w:rFonts w:eastAsia="Aptos"/>
                <w:sz w:val="20"/>
              </w:rPr>
              <w:t xml:space="preserve"> 8 from Job)</w:t>
            </w:r>
          </w:p>
          <w:p w14:paraId="1E3EE8A0" w14:textId="77777777" w:rsidR="00AC799B" w:rsidRPr="00AC799B" w:rsidRDefault="00AC799B" w:rsidP="00AC799B">
            <w:pPr>
              <w:numPr>
                <w:ilvl w:val="1"/>
                <w:numId w:val="5"/>
              </w:numPr>
              <w:contextualSpacing/>
              <w:rPr>
                <w:rFonts w:eastAsia="Aptos"/>
                <w:sz w:val="20"/>
              </w:rPr>
            </w:pPr>
            <w:r w:rsidRPr="00AC799B">
              <w:rPr>
                <w:rFonts w:eastAsia="Aptos"/>
                <w:sz w:val="20"/>
              </w:rPr>
              <w:t xml:space="preserve">Grandfathered (Elig </w:t>
            </w:r>
            <w:proofErr w:type="spellStart"/>
            <w:r w:rsidRPr="00AC799B">
              <w:rPr>
                <w:rFonts w:eastAsia="Aptos"/>
                <w:sz w:val="20"/>
              </w:rPr>
              <w:t>Fld</w:t>
            </w:r>
            <w:proofErr w:type="spellEnd"/>
            <w:r w:rsidRPr="00AC799B">
              <w:rPr>
                <w:rFonts w:eastAsia="Aptos"/>
                <w:sz w:val="20"/>
              </w:rPr>
              <w:t xml:space="preserve"> 7 from Job) </w:t>
            </w:r>
          </w:p>
          <w:p w14:paraId="6E6F0422" w14:textId="77777777" w:rsidR="00AC799B" w:rsidRPr="00AC799B" w:rsidRDefault="00AC799B" w:rsidP="00AC799B">
            <w:pPr>
              <w:numPr>
                <w:ilvl w:val="1"/>
                <w:numId w:val="5"/>
              </w:numPr>
              <w:contextualSpacing/>
              <w:rPr>
                <w:rFonts w:eastAsia="Aptos"/>
                <w:sz w:val="20"/>
              </w:rPr>
            </w:pPr>
            <w:r w:rsidRPr="00AC799B">
              <w:rPr>
                <w:rFonts w:eastAsia="Aptos"/>
                <w:sz w:val="20"/>
              </w:rPr>
              <w:t>Bill VRS Org Code (Org Code on the billing file)</w:t>
            </w:r>
          </w:p>
          <w:p w14:paraId="33FE8D87" w14:textId="77777777" w:rsidR="00AC799B" w:rsidRPr="00AC799B" w:rsidRDefault="00AC799B" w:rsidP="00AC799B">
            <w:pPr>
              <w:numPr>
                <w:ilvl w:val="1"/>
                <w:numId w:val="5"/>
              </w:numPr>
              <w:contextualSpacing/>
              <w:rPr>
                <w:rFonts w:eastAsia="Aptos"/>
                <w:sz w:val="20"/>
              </w:rPr>
            </w:pPr>
            <w:r w:rsidRPr="00AC799B">
              <w:rPr>
                <w:rFonts w:eastAsia="Aptos"/>
                <w:sz w:val="20"/>
              </w:rPr>
              <w:t>Error Ind</w:t>
            </w:r>
          </w:p>
          <w:p w14:paraId="47885394" w14:textId="77777777" w:rsidR="00AC799B" w:rsidRPr="00AC799B" w:rsidRDefault="00AC799B" w:rsidP="00AC799B">
            <w:pPr>
              <w:numPr>
                <w:ilvl w:val="1"/>
                <w:numId w:val="5"/>
              </w:numPr>
              <w:contextualSpacing/>
              <w:rPr>
                <w:rFonts w:eastAsia="Aptos"/>
                <w:sz w:val="20"/>
              </w:rPr>
            </w:pPr>
            <w:r w:rsidRPr="00AC799B">
              <w:rPr>
                <w:rFonts w:eastAsia="Aptos"/>
                <w:sz w:val="20"/>
              </w:rPr>
              <w:t>Error Message</w:t>
            </w:r>
          </w:p>
          <w:p w14:paraId="53FB1EF2" w14:textId="13C9E869" w:rsidR="00AC799B" w:rsidRPr="00AC799B" w:rsidRDefault="00AC799B" w:rsidP="00AC799B">
            <w:pPr>
              <w:numPr>
                <w:ilvl w:val="0"/>
                <w:numId w:val="5"/>
              </w:numPr>
              <w:contextualSpacing/>
              <w:rPr>
                <w:rFonts w:eastAsia="Aptos"/>
                <w:sz w:val="20"/>
              </w:rPr>
            </w:pPr>
            <w:r w:rsidRPr="00AC799B">
              <w:rPr>
                <w:rFonts w:eastAsia="Aptos"/>
                <w:sz w:val="20"/>
              </w:rPr>
              <w:t xml:space="preserve">Errors and Warnings that may </w:t>
            </w:r>
            <w:r w:rsidR="005B2687">
              <w:rPr>
                <w:rFonts w:eastAsia="Aptos"/>
                <w:sz w:val="20"/>
              </w:rPr>
              <w:t>appear</w:t>
            </w:r>
            <w:r w:rsidR="005B2687" w:rsidRPr="00AC799B">
              <w:rPr>
                <w:rFonts w:eastAsia="Aptos"/>
                <w:sz w:val="20"/>
              </w:rPr>
              <w:t xml:space="preserve"> </w:t>
            </w:r>
            <w:r w:rsidRPr="00AC799B">
              <w:rPr>
                <w:rFonts w:eastAsia="Aptos"/>
                <w:sz w:val="20"/>
              </w:rPr>
              <w:t>on this report:</w:t>
            </w:r>
          </w:p>
          <w:p w14:paraId="63DEFD02" w14:textId="1F275E9B" w:rsidR="00AC799B" w:rsidRPr="00AC799B" w:rsidRDefault="00AC799B" w:rsidP="00AC799B">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sidRPr="00B96F60">
              <w:rPr>
                <w:rFonts w:eastAsia="Aptos"/>
                <w:b/>
                <w:bCs/>
                <w:sz w:val="20"/>
              </w:rPr>
              <w:t>Duplicate Employee ID, VRS Org Code</w:t>
            </w:r>
            <w:r w:rsidR="005B2687" w:rsidRPr="00B96F60">
              <w:rPr>
                <w:rFonts w:eastAsia="Aptos"/>
                <w:b/>
                <w:bCs/>
                <w:sz w:val="20"/>
              </w:rPr>
              <w:t>,</w:t>
            </w:r>
            <w:r w:rsidRPr="00B96F60">
              <w:rPr>
                <w:rFonts w:eastAsia="Aptos"/>
                <w:b/>
                <w:bCs/>
                <w:sz w:val="20"/>
              </w:rPr>
              <w:t xml:space="preserve"> and </w:t>
            </w:r>
            <w:r w:rsidRPr="0053555F">
              <w:rPr>
                <w:rFonts w:eastAsia="Aptos"/>
                <w:b/>
                <w:bCs/>
                <w:sz w:val="20"/>
              </w:rPr>
              <w:t>Amounts</w:t>
            </w:r>
            <w:r w:rsidR="0053555F">
              <w:rPr>
                <w:rFonts w:eastAsia="Aptos"/>
                <w:sz w:val="20"/>
              </w:rPr>
              <w:t xml:space="preserve"> - To</w:t>
            </w:r>
            <w:r w:rsidRPr="00AC799B">
              <w:rPr>
                <w:rFonts w:eastAsia="Aptos"/>
                <w:sz w:val="20"/>
              </w:rPr>
              <w:t xml:space="preserve"> </w:t>
            </w:r>
            <w:r w:rsidR="005B2687">
              <w:rPr>
                <w:rFonts w:eastAsia="Aptos"/>
                <w:sz w:val="20"/>
              </w:rPr>
              <w:t>prevent</w:t>
            </w:r>
            <w:r w:rsidR="005B2687" w:rsidRPr="00AC799B">
              <w:rPr>
                <w:rFonts w:eastAsia="Aptos"/>
                <w:sz w:val="20"/>
              </w:rPr>
              <w:t xml:space="preserve"> </w:t>
            </w:r>
            <w:r w:rsidRPr="00AC799B">
              <w:rPr>
                <w:rFonts w:eastAsia="Aptos"/>
                <w:sz w:val="20"/>
              </w:rPr>
              <w:t>double-billing</w:t>
            </w:r>
            <w:r w:rsidR="005B2687">
              <w:rPr>
                <w:rFonts w:eastAsia="Aptos"/>
                <w:sz w:val="20"/>
              </w:rPr>
              <w:t>,</w:t>
            </w:r>
            <w:r w:rsidRPr="00AC799B">
              <w:rPr>
                <w:rFonts w:eastAsia="Aptos"/>
                <w:sz w:val="20"/>
              </w:rPr>
              <w:t xml:space="preserve"> Cardinal </w:t>
            </w:r>
            <w:r w:rsidR="005B2687">
              <w:rPr>
                <w:rFonts w:eastAsia="Aptos"/>
                <w:sz w:val="20"/>
              </w:rPr>
              <w:t xml:space="preserve">has </w:t>
            </w:r>
            <w:r w:rsidRPr="00AC799B">
              <w:rPr>
                <w:rFonts w:eastAsia="Aptos"/>
                <w:sz w:val="20"/>
              </w:rPr>
              <w:t xml:space="preserve">processed one transaction from the billing file and rejected </w:t>
            </w:r>
            <w:r w:rsidR="005B2687">
              <w:rPr>
                <w:rFonts w:eastAsia="Aptos"/>
                <w:sz w:val="20"/>
              </w:rPr>
              <w:t>duplicates</w:t>
            </w:r>
            <w:r w:rsidRPr="00AC799B">
              <w:rPr>
                <w:rFonts w:eastAsia="Aptos"/>
                <w:sz w:val="20"/>
              </w:rPr>
              <w:t>.</w:t>
            </w:r>
          </w:p>
          <w:p w14:paraId="7C9D206C" w14:textId="4EC8051F" w:rsidR="00AC799B" w:rsidRPr="00AC799B" w:rsidRDefault="00AC799B" w:rsidP="00AC799B">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sidRPr="00B96F60">
              <w:rPr>
                <w:rFonts w:eastAsia="Aptos"/>
                <w:b/>
                <w:bCs/>
                <w:sz w:val="20"/>
              </w:rPr>
              <w:t xml:space="preserve">Employee Not </w:t>
            </w:r>
            <w:r w:rsidRPr="0053555F">
              <w:rPr>
                <w:rFonts w:eastAsia="Aptos"/>
                <w:b/>
                <w:bCs/>
                <w:sz w:val="20"/>
              </w:rPr>
              <w:t>Found</w:t>
            </w:r>
            <w:r w:rsidR="0053555F">
              <w:rPr>
                <w:rFonts w:eastAsia="Aptos"/>
                <w:b/>
                <w:bCs/>
                <w:sz w:val="20"/>
              </w:rPr>
              <w:t xml:space="preserve"> - </w:t>
            </w:r>
            <w:r w:rsidR="0053555F" w:rsidRPr="0053555F">
              <w:rPr>
                <w:rFonts w:eastAsia="Aptos"/>
                <w:sz w:val="20"/>
              </w:rPr>
              <w:t>Employee</w:t>
            </w:r>
            <w:r w:rsidRPr="0053555F">
              <w:rPr>
                <w:rFonts w:eastAsia="Aptos"/>
                <w:sz w:val="20"/>
              </w:rPr>
              <w:t xml:space="preserve"> ID </w:t>
            </w:r>
            <w:r w:rsidRPr="00AC799B">
              <w:rPr>
                <w:rFonts w:eastAsia="Aptos"/>
                <w:sz w:val="20"/>
              </w:rPr>
              <w:t xml:space="preserve">on billing file does not exist in Cardinal. </w:t>
            </w:r>
            <w:r w:rsidR="005B2687">
              <w:rPr>
                <w:rFonts w:eastAsia="Aptos"/>
                <w:sz w:val="20"/>
              </w:rPr>
              <w:br/>
            </w:r>
            <w:r w:rsidRPr="00AC799B">
              <w:rPr>
                <w:rFonts w:eastAsia="Aptos"/>
                <w:sz w:val="20"/>
              </w:rPr>
              <w:t>Agenc</w:t>
            </w:r>
            <w:r w:rsidR="003E5995">
              <w:rPr>
                <w:rFonts w:eastAsia="Aptos"/>
                <w:sz w:val="20"/>
              </w:rPr>
              <w:t>y</w:t>
            </w:r>
            <w:r w:rsidRPr="00AC799B">
              <w:rPr>
                <w:rFonts w:eastAsia="Aptos"/>
                <w:sz w:val="20"/>
              </w:rPr>
              <w:t xml:space="preserve"> should</w:t>
            </w:r>
            <w:r w:rsidR="005B2687">
              <w:rPr>
                <w:rFonts w:eastAsia="Aptos"/>
                <w:sz w:val="20"/>
              </w:rPr>
              <w:t>:</w:t>
            </w:r>
          </w:p>
          <w:p w14:paraId="32F1C240" w14:textId="6DD1D27B" w:rsidR="00AC799B" w:rsidRPr="00AC799B" w:rsidRDefault="00AC799B" w:rsidP="00AC799B">
            <w:pPr>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sidRPr="00AC799B">
              <w:rPr>
                <w:rFonts w:eastAsia="Aptos"/>
                <w:sz w:val="20"/>
              </w:rPr>
              <w:t xml:space="preserve">Verify/correct </w:t>
            </w:r>
            <w:r w:rsidR="005B2687">
              <w:rPr>
                <w:rFonts w:eastAsia="Aptos"/>
                <w:sz w:val="20"/>
              </w:rPr>
              <w:t>E</w:t>
            </w:r>
            <w:r w:rsidRPr="00AC799B">
              <w:rPr>
                <w:rFonts w:eastAsia="Aptos"/>
                <w:sz w:val="20"/>
              </w:rPr>
              <w:t>mployee ID</w:t>
            </w:r>
            <w:r w:rsidR="005B2687">
              <w:rPr>
                <w:rFonts w:eastAsia="Aptos"/>
                <w:sz w:val="20"/>
              </w:rPr>
              <w:t xml:space="preserve">: Check and update the Employee ID in </w:t>
            </w:r>
            <w:r w:rsidRPr="00AC799B">
              <w:rPr>
                <w:rFonts w:eastAsia="Aptos"/>
                <w:sz w:val="20"/>
              </w:rPr>
              <w:t xml:space="preserve">VNAV </w:t>
            </w:r>
            <w:r w:rsidR="005B2687">
              <w:rPr>
                <w:rFonts w:eastAsia="Aptos"/>
                <w:sz w:val="20"/>
              </w:rPr>
              <w:t xml:space="preserve">to ensure it </w:t>
            </w:r>
            <w:r w:rsidRPr="00AC799B">
              <w:rPr>
                <w:rFonts w:eastAsia="Aptos"/>
                <w:sz w:val="20"/>
              </w:rPr>
              <w:t>match</w:t>
            </w:r>
            <w:r w:rsidR="005B2687">
              <w:rPr>
                <w:rFonts w:eastAsia="Aptos"/>
                <w:sz w:val="20"/>
              </w:rPr>
              <w:t>es</w:t>
            </w:r>
            <w:r w:rsidRPr="00AC799B">
              <w:rPr>
                <w:rFonts w:eastAsia="Aptos"/>
                <w:sz w:val="20"/>
              </w:rPr>
              <w:t xml:space="preserve"> the first 9 digits of the Cardinal Employee ID (e.g., 001234567)</w:t>
            </w:r>
          </w:p>
          <w:p w14:paraId="7FB5E431" w14:textId="4B9A9468" w:rsidR="00AC799B" w:rsidRPr="00AC799B" w:rsidRDefault="005B2687" w:rsidP="00AC799B">
            <w:pPr>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Pr>
                <w:rFonts w:eastAsia="Aptos"/>
                <w:sz w:val="20"/>
              </w:rPr>
              <w:t xml:space="preserve">Manual Reconciliation: </w:t>
            </w:r>
            <w:r w:rsidR="00AC799B" w:rsidRPr="00AC799B">
              <w:rPr>
                <w:rFonts w:eastAsia="Aptos"/>
                <w:sz w:val="20"/>
              </w:rPr>
              <w:t xml:space="preserve">Work with SPO to manually reconcile the employee’s </w:t>
            </w:r>
            <w:r>
              <w:rPr>
                <w:rFonts w:eastAsia="Aptos"/>
                <w:sz w:val="20"/>
              </w:rPr>
              <w:t>r</w:t>
            </w:r>
            <w:r w:rsidR="00AC799B" w:rsidRPr="00AC799B">
              <w:rPr>
                <w:rFonts w:eastAsia="Aptos"/>
                <w:sz w:val="20"/>
              </w:rPr>
              <w:t>etirement election</w:t>
            </w:r>
            <w:r>
              <w:rPr>
                <w:rFonts w:eastAsia="Aptos"/>
                <w:sz w:val="20"/>
              </w:rPr>
              <w:t>,</w:t>
            </w:r>
            <w:r w:rsidR="00AC799B" w:rsidRPr="00AC799B">
              <w:rPr>
                <w:rFonts w:eastAsia="Aptos"/>
                <w:sz w:val="20"/>
              </w:rPr>
              <w:t xml:space="preserve"> and</w:t>
            </w:r>
            <w:r>
              <w:rPr>
                <w:rFonts w:eastAsia="Aptos"/>
                <w:sz w:val="20"/>
              </w:rPr>
              <w:t>, if necessary,</w:t>
            </w:r>
            <w:r w:rsidR="00AC799B" w:rsidRPr="00AC799B">
              <w:rPr>
                <w:rFonts w:eastAsia="Aptos"/>
                <w:sz w:val="20"/>
              </w:rPr>
              <w:t xml:space="preserve"> create a GL journal</w:t>
            </w:r>
            <w:r>
              <w:rPr>
                <w:rFonts w:eastAsia="Aptos"/>
                <w:sz w:val="20"/>
              </w:rPr>
              <w:t xml:space="preserve"> entry.</w:t>
            </w:r>
          </w:p>
          <w:p w14:paraId="754EEB39" w14:textId="3D508BDE" w:rsidR="00AC799B" w:rsidRDefault="00AC799B" w:rsidP="00AC799B">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sidRPr="00B96F60">
              <w:rPr>
                <w:rFonts w:eastAsia="Aptos"/>
                <w:b/>
                <w:bCs/>
                <w:sz w:val="20"/>
              </w:rPr>
              <w:t>Employee Not Found in Job</w:t>
            </w:r>
            <w:r w:rsidR="00B96F60">
              <w:rPr>
                <w:rFonts w:eastAsia="Aptos"/>
                <w:sz w:val="20"/>
              </w:rPr>
              <w:t xml:space="preserve"> -</w:t>
            </w:r>
            <w:r w:rsidRPr="00AC799B">
              <w:rPr>
                <w:rFonts w:eastAsia="Aptos"/>
                <w:sz w:val="20"/>
              </w:rPr>
              <w:t xml:space="preserve"> </w:t>
            </w:r>
            <w:r w:rsidR="005B2687">
              <w:rPr>
                <w:rFonts w:eastAsia="Aptos"/>
                <w:sz w:val="20"/>
              </w:rPr>
              <w:t xml:space="preserve">The </w:t>
            </w:r>
            <w:r w:rsidRPr="00AC799B">
              <w:rPr>
                <w:rFonts w:eastAsia="Aptos"/>
                <w:sz w:val="20"/>
              </w:rPr>
              <w:t xml:space="preserve">Employee ID on </w:t>
            </w:r>
            <w:r w:rsidR="005B2687">
              <w:rPr>
                <w:rFonts w:eastAsia="Aptos"/>
                <w:sz w:val="20"/>
              </w:rPr>
              <w:t>b</w:t>
            </w:r>
            <w:r w:rsidRPr="00AC799B">
              <w:rPr>
                <w:rFonts w:eastAsia="Aptos"/>
                <w:sz w:val="20"/>
              </w:rPr>
              <w:t xml:space="preserve">illing file matches a Person record in Cardinal but </w:t>
            </w:r>
            <w:r w:rsidR="005B2687">
              <w:rPr>
                <w:rFonts w:eastAsia="Aptos"/>
                <w:sz w:val="20"/>
              </w:rPr>
              <w:t xml:space="preserve">lacks a corresponding </w:t>
            </w:r>
            <w:r w:rsidRPr="00AC799B">
              <w:rPr>
                <w:rFonts w:eastAsia="Aptos"/>
                <w:sz w:val="20"/>
              </w:rPr>
              <w:t xml:space="preserve">Job record </w:t>
            </w:r>
            <w:r w:rsidR="009B469E">
              <w:rPr>
                <w:rFonts w:eastAsia="Aptos"/>
                <w:sz w:val="20"/>
              </w:rPr>
              <w:t xml:space="preserve">for the specified </w:t>
            </w:r>
            <w:r w:rsidRPr="00AC799B">
              <w:rPr>
                <w:rFonts w:eastAsia="Aptos"/>
                <w:sz w:val="20"/>
              </w:rPr>
              <w:t>agency/VRS Org Code</w:t>
            </w:r>
            <w:r w:rsidR="009B469E">
              <w:rPr>
                <w:rFonts w:eastAsia="Aptos"/>
                <w:sz w:val="20"/>
              </w:rPr>
              <w:t xml:space="preserve">. This may occur if </w:t>
            </w:r>
            <w:r w:rsidRPr="00AC799B">
              <w:rPr>
                <w:rFonts w:eastAsia="Aptos"/>
                <w:sz w:val="20"/>
              </w:rPr>
              <w:t xml:space="preserve">VRS is sending a retroactive transaction for an employee who terminated </w:t>
            </w:r>
            <w:r w:rsidR="009B469E">
              <w:rPr>
                <w:rFonts w:eastAsia="Aptos"/>
                <w:sz w:val="20"/>
              </w:rPr>
              <w:t xml:space="preserve">before the </w:t>
            </w:r>
            <w:r w:rsidRPr="00AC799B">
              <w:rPr>
                <w:rFonts w:eastAsia="Aptos"/>
                <w:sz w:val="20"/>
              </w:rPr>
              <w:t>Cardinal implementation</w:t>
            </w:r>
            <w:r w:rsidR="009B469E">
              <w:rPr>
                <w:rFonts w:eastAsia="Aptos"/>
                <w:sz w:val="20"/>
              </w:rPr>
              <w:t xml:space="preserve">, resulting in </w:t>
            </w:r>
            <w:r w:rsidRPr="00AC799B">
              <w:rPr>
                <w:rFonts w:eastAsia="Aptos"/>
                <w:sz w:val="20"/>
              </w:rPr>
              <w:t xml:space="preserve">no </w:t>
            </w:r>
            <w:r w:rsidR="009B469E">
              <w:rPr>
                <w:rFonts w:eastAsia="Aptos"/>
                <w:sz w:val="20"/>
              </w:rPr>
              <w:t xml:space="preserve">converted </w:t>
            </w:r>
            <w:r w:rsidRPr="00AC799B">
              <w:rPr>
                <w:rFonts w:eastAsia="Aptos"/>
                <w:sz w:val="20"/>
              </w:rPr>
              <w:t>Job record.</w:t>
            </w:r>
          </w:p>
          <w:p w14:paraId="7EF569E6" w14:textId="09545F54" w:rsidR="00586AB7" w:rsidRPr="00AC799B" w:rsidRDefault="00586AB7" w:rsidP="003E31A5">
            <w:pPr>
              <w:numPr>
                <w:ilvl w:val="2"/>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sidRPr="00586AB7">
              <w:rPr>
                <w:rFonts w:eastAsia="Aptos"/>
                <w:sz w:val="20"/>
              </w:rPr>
              <w:t>Manual Reconciliation: Work with SPO to manually reconcile the employee’s retirement election, and, if necessary, create a GL journal entry.</w:t>
            </w:r>
          </w:p>
        </w:tc>
      </w:tr>
    </w:tbl>
    <w:p w14:paraId="30539FAA" w14:textId="77777777" w:rsidR="00AC799B" w:rsidRDefault="00AC799B" w:rsidP="00AC799B">
      <w:pPr>
        <w:pBdr>
          <w:top w:val="single" w:sz="6" w:space="1" w:color="auto"/>
          <w:between w:val="single" w:sz="6" w:space="1" w:color="auto"/>
        </w:pBdr>
        <w:spacing w:before="120"/>
        <w:ind w:left="1699"/>
        <w:rPr>
          <w:b/>
          <w:sz w:val="16"/>
          <w:szCs w:val="16"/>
        </w:rPr>
      </w:pPr>
    </w:p>
    <w:p w14:paraId="059BCEA4" w14:textId="49095816" w:rsidR="00AC799B" w:rsidRDefault="00AC799B">
      <w:pPr>
        <w:rPr>
          <w:b/>
          <w:sz w:val="16"/>
          <w:szCs w:val="16"/>
        </w:rPr>
      </w:pPr>
      <w:r>
        <w:rPr>
          <w:b/>
          <w:sz w:val="16"/>
          <w:szCs w:val="16"/>
        </w:rPr>
        <w:br w:type="page"/>
      </w:r>
    </w:p>
    <w:p w14:paraId="57CFE867" w14:textId="3A3F367E" w:rsidR="00AC799B" w:rsidRPr="00AC799B" w:rsidRDefault="00AC799B" w:rsidP="00AC799B">
      <w:pPr>
        <w:rPr>
          <w:b/>
          <w:szCs w:val="24"/>
        </w:rPr>
      </w:pPr>
      <w:r w:rsidRPr="00AC799B">
        <w:rPr>
          <w:b/>
          <w:szCs w:val="24"/>
        </w:rPr>
        <w:lastRenderedPageBreak/>
        <w:t>VRS Retirement Billing Recon – Hybrid Rate Separation</w:t>
      </w:r>
      <w:r>
        <w:rPr>
          <w:b/>
          <w:szCs w:val="24"/>
        </w:rPr>
        <w:t xml:space="preserve">, </w:t>
      </w:r>
      <w:r w:rsidRPr="00AC799B">
        <w:rPr>
          <w:bCs/>
          <w:sz w:val="20"/>
        </w:rPr>
        <w:t>cont.</w:t>
      </w:r>
    </w:p>
    <w:p w14:paraId="5E13AEDA" w14:textId="77777777" w:rsidR="00AC799B" w:rsidRPr="00AC799B" w:rsidRDefault="00AC799B" w:rsidP="00AC799B">
      <w:pPr>
        <w:pBdr>
          <w:top w:val="single" w:sz="6" w:space="1" w:color="auto"/>
          <w:between w:val="single" w:sz="6" w:space="1" w:color="auto"/>
        </w:pBdr>
        <w:spacing w:before="240"/>
        <w:ind w:left="1700"/>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AC799B" w14:paraId="727F2CAC" w14:textId="77777777" w:rsidTr="00A56643">
        <w:tc>
          <w:tcPr>
            <w:tcW w:w="1713" w:type="dxa"/>
            <w:tcMar>
              <w:top w:w="0" w:type="dxa"/>
              <w:left w:w="108" w:type="dxa"/>
              <w:bottom w:w="0" w:type="dxa"/>
              <w:right w:w="108" w:type="dxa"/>
            </w:tcMar>
            <w:hideMark/>
          </w:tcPr>
          <w:p w14:paraId="13210358" w14:textId="27A4E559" w:rsidR="00AC799B" w:rsidRPr="00AC799B" w:rsidRDefault="00AC799B" w:rsidP="00A56643">
            <w:pPr>
              <w:rPr>
                <w:b/>
                <w:bCs/>
                <w:sz w:val="22"/>
                <w:szCs w:val="22"/>
              </w:rPr>
            </w:pPr>
            <w:r w:rsidRPr="00AC799B">
              <w:rPr>
                <w:b/>
                <w:bCs/>
                <w:sz w:val="22"/>
                <w:szCs w:val="22"/>
              </w:rPr>
              <w:t>VRS Billing Details Query (RHR077)</w:t>
            </w:r>
            <w:r>
              <w:rPr>
                <w:b/>
                <w:bCs/>
                <w:sz w:val="22"/>
                <w:szCs w:val="22"/>
              </w:rPr>
              <w:t>, cont.</w:t>
            </w:r>
          </w:p>
        </w:tc>
        <w:tc>
          <w:tcPr>
            <w:tcW w:w="9090" w:type="dxa"/>
            <w:tcMar>
              <w:left w:w="115" w:type="dxa"/>
              <w:right w:w="115" w:type="dxa"/>
            </w:tcMar>
          </w:tcPr>
          <w:p w14:paraId="049D6D93" w14:textId="77777777" w:rsidR="004E2D94" w:rsidRPr="00AC799B" w:rsidRDefault="004E2D94" w:rsidP="004E2D94">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sidRPr="00CC244A">
              <w:rPr>
                <w:rFonts w:eastAsia="Aptos"/>
                <w:b/>
                <w:bCs/>
                <w:sz w:val="20"/>
              </w:rPr>
              <w:t xml:space="preserve">(Warning) Reconciling this </w:t>
            </w:r>
            <w:r w:rsidRPr="00280FB6">
              <w:rPr>
                <w:rFonts w:eastAsia="Aptos"/>
                <w:b/>
                <w:bCs/>
                <w:sz w:val="20"/>
              </w:rPr>
              <w:t>Row</w:t>
            </w:r>
            <w:r>
              <w:rPr>
                <w:rFonts w:eastAsia="Aptos"/>
                <w:b/>
                <w:bCs/>
                <w:sz w:val="20"/>
              </w:rPr>
              <w:t xml:space="preserve"> -</w:t>
            </w:r>
            <w:r w:rsidRPr="00280FB6">
              <w:rPr>
                <w:rFonts w:eastAsia="Aptos"/>
                <w:b/>
                <w:bCs/>
                <w:sz w:val="20"/>
              </w:rPr>
              <w:t xml:space="preserve"> This row contains duplicate entries for the same Employee ID and Org Code</w:t>
            </w:r>
            <w:r>
              <w:rPr>
                <w:rFonts w:eastAsia="Aptos"/>
                <w:b/>
                <w:bCs/>
                <w:sz w:val="20"/>
              </w:rPr>
              <w:t xml:space="preserve"> </w:t>
            </w:r>
            <w:r w:rsidRPr="00280FB6">
              <w:rPr>
                <w:rFonts w:eastAsia="Aptos"/>
                <w:b/>
                <w:bCs/>
                <w:sz w:val="20"/>
              </w:rPr>
              <w:t xml:space="preserve">and </w:t>
            </w:r>
            <w:r>
              <w:rPr>
                <w:rFonts w:eastAsia="Aptos"/>
                <w:b/>
                <w:bCs/>
                <w:sz w:val="20"/>
              </w:rPr>
              <w:t>all a</w:t>
            </w:r>
            <w:r w:rsidRPr="00280FB6">
              <w:rPr>
                <w:rFonts w:eastAsia="Aptos"/>
                <w:b/>
                <w:bCs/>
                <w:sz w:val="20"/>
              </w:rPr>
              <w:t>mount data values in the input file and may result in double billing.</w:t>
            </w:r>
            <w:r w:rsidRPr="00AC799B">
              <w:rPr>
                <w:rFonts w:eastAsia="Aptos"/>
                <w:sz w:val="20"/>
              </w:rPr>
              <w:t xml:space="preserve"> Cardinal </w:t>
            </w:r>
            <w:r>
              <w:rPr>
                <w:rFonts w:eastAsia="Aptos"/>
                <w:sz w:val="20"/>
              </w:rPr>
              <w:t xml:space="preserve">has </w:t>
            </w:r>
            <w:r w:rsidRPr="00AC799B">
              <w:rPr>
                <w:rFonts w:eastAsia="Aptos"/>
                <w:sz w:val="20"/>
              </w:rPr>
              <w:t xml:space="preserve">reconciled this transaction and rejected the </w:t>
            </w:r>
            <w:r>
              <w:rPr>
                <w:rFonts w:eastAsia="Aptos"/>
                <w:sz w:val="20"/>
              </w:rPr>
              <w:t>duplicates</w:t>
            </w:r>
            <w:r w:rsidRPr="00AC799B">
              <w:rPr>
                <w:rFonts w:eastAsia="Aptos"/>
                <w:sz w:val="20"/>
              </w:rPr>
              <w:t xml:space="preserve">. </w:t>
            </w:r>
          </w:p>
          <w:p w14:paraId="14C58C9C" w14:textId="73EF309D" w:rsidR="00AC799B" w:rsidRPr="00AC799B" w:rsidRDefault="00AC799B" w:rsidP="00A56643">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contextualSpacing/>
              <w:rPr>
                <w:rFonts w:eastAsia="Aptos"/>
                <w:sz w:val="20"/>
              </w:rPr>
            </w:pPr>
            <w:r w:rsidRPr="004E2D94">
              <w:rPr>
                <w:rFonts w:eastAsia="Aptos"/>
                <w:b/>
                <w:bCs/>
                <w:sz w:val="20"/>
              </w:rPr>
              <w:t>(Warning) Elig Field 6 is blank; verify retirement elections</w:t>
            </w:r>
            <w:r w:rsidR="004E2D94">
              <w:rPr>
                <w:rFonts w:eastAsia="Aptos"/>
                <w:b/>
                <w:bCs/>
                <w:sz w:val="20"/>
              </w:rPr>
              <w:t xml:space="preserve">.  </w:t>
            </w:r>
            <w:r w:rsidRPr="00AC799B">
              <w:rPr>
                <w:rFonts w:eastAsia="Aptos"/>
                <w:sz w:val="20"/>
              </w:rPr>
              <w:t>Check the employee’s Job and Retirement elections</w:t>
            </w:r>
            <w:r w:rsidR="00F61373">
              <w:rPr>
                <w:rFonts w:eastAsia="Aptos"/>
                <w:sz w:val="20"/>
              </w:rPr>
              <w:t xml:space="preserve"> for accuracy</w:t>
            </w:r>
            <w:r w:rsidRPr="00AC799B">
              <w:rPr>
                <w:rFonts w:eastAsia="Aptos"/>
                <w:sz w:val="20"/>
              </w:rPr>
              <w:t xml:space="preserve">. If </w:t>
            </w:r>
            <w:r w:rsidR="00F61373">
              <w:rPr>
                <w:rFonts w:eastAsia="Aptos"/>
                <w:sz w:val="20"/>
              </w:rPr>
              <w:t xml:space="preserve">you need </w:t>
            </w:r>
            <w:r w:rsidRPr="00AC799B">
              <w:rPr>
                <w:rFonts w:eastAsia="Aptos"/>
                <w:sz w:val="20"/>
              </w:rPr>
              <w:t xml:space="preserve">assistance, please open a VCCC helpdesk ticket with “Cardinal HCM – Retirement Elections” in the subject of your email. </w:t>
            </w:r>
          </w:p>
          <w:p w14:paraId="79B001FA" w14:textId="77777777" w:rsidR="00AC799B" w:rsidRPr="00AC799B" w:rsidRDefault="00AC799B" w:rsidP="00A5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p>
          <w:p w14:paraId="35149AB0" w14:textId="74880C28" w:rsidR="00AC799B" w:rsidRPr="00AC799B" w:rsidRDefault="00AC799B" w:rsidP="00B96F60">
            <w:pPr>
              <w:jc w:val="center"/>
              <w:rPr>
                <w:sz w:val="20"/>
              </w:rPr>
            </w:pPr>
            <w:r w:rsidRPr="00AC799B">
              <w:rPr>
                <w:rFonts w:eastAsia="Aptos"/>
                <w:sz w:val="20"/>
                <w14:ligatures w14:val="standardContextual"/>
              </w:rPr>
              <w:t>Navigation:  Menu &gt; Reporting Tools &gt; Query Viewer &gt; V_VRS_BILLING_REPORT</w:t>
            </w:r>
          </w:p>
        </w:tc>
      </w:tr>
    </w:tbl>
    <w:p w14:paraId="6CDC61E0" w14:textId="77777777" w:rsidR="00AC799B" w:rsidRPr="00AC799B" w:rsidRDefault="00AC799B" w:rsidP="00AC799B">
      <w:pPr>
        <w:pBdr>
          <w:top w:val="single" w:sz="6" w:space="1" w:color="auto"/>
          <w:between w:val="single" w:sz="6" w:space="1" w:color="auto"/>
        </w:pBdr>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334F68" w14:paraId="775FCDA8" w14:textId="77777777" w:rsidTr="00A56643">
        <w:tc>
          <w:tcPr>
            <w:tcW w:w="1713" w:type="dxa"/>
            <w:tcMar>
              <w:top w:w="0" w:type="dxa"/>
              <w:left w:w="108" w:type="dxa"/>
              <w:bottom w:w="0" w:type="dxa"/>
              <w:right w:w="108" w:type="dxa"/>
            </w:tcMar>
            <w:hideMark/>
          </w:tcPr>
          <w:p w14:paraId="4894A037" w14:textId="77777777" w:rsidR="00AC799B" w:rsidRPr="00334F68" w:rsidRDefault="00AC799B" w:rsidP="00A56643">
            <w:pPr>
              <w:rPr>
                <w:b/>
                <w:bCs/>
                <w:sz w:val="22"/>
                <w:szCs w:val="22"/>
              </w:rPr>
            </w:pPr>
            <w:r>
              <w:rPr>
                <w:b/>
                <w:bCs/>
                <w:sz w:val="22"/>
                <w:szCs w:val="22"/>
              </w:rPr>
              <w:t>VRS Billing Exceptions Report (RHR078)</w:t>
            </w:r>
          </w:p>
        </w:tc>
        <w:tc>
          <w:tcPr>
            <w:tcW w:w="9090" w:type="dxa"/>
            <w:tcMar>
              <w:left w:w="115" w:type="dxa"/>
              <w:right w:w="115" w:type="dxa"/>
            </w:tcMar>
          </w:tcPr>
          <w:p w14:paraId="08D3490F" w14:textId="7B9E21B0" w:rsidR="00AC799B" w:rsidRDefault="00AC799B" w:rsidP="00A56643">
            <w:pPr>
              <w:rPr>
                <w:rFonts w:eastAsia="Aptos"/>
                <w:sz w:val="20"/>
              </w:rPr>
            </w:pPr>
            <w:r>
              <w:rPr>
                <w:rFonts w:eastAsia="Aptos"/>
                <w:sz w:val="20"/>
              </w:rPr>
              <w:t xml:space="preserve">This report is updated </w:t>
            </w:r>
            <w:r w:rsidR="001062AE">
              <w:rPr>
                <w:rFonts w:eastAsia="Aptos"/>
                <w:sz w:val="20"/>
              </w:rPr>
              <w:t xml:space="preserve">to reflect changes related to </w:t>
            </w:r>
            <w:r>
              <w:rPr>
                <w:rFonts w:eastAsia="Aptos"/>
                <w:sz w:val="20"/>
              </w:rPr>
              <w:t xml:space="preserve">the VRS Hybrid Rate Separation and to </w:t>
            </w:r>
            <w:r w:rsidR="001062AE">
              <w:rPr>
                <w:rFonts w:eastAsia="Aptos"/>
                <w:sz w:val="20"/>
              </w:rPr>
              <w:t xml:space="preserve">include </w:t>
            </w:r>
            <w:r>
              <w:rPr>
                <w:rFonts w:eastAsia="Aptos"/>
                <w:sz w:val="20"/>
              </w:rPr>
              <w:t xml:space="preserve">additional information. </w:t>
            </w:r>
            <w:r w:rsidR="001062AE">
              <w:rPr>
                <w:rFonts w:eastAsia="Aptos"/>
                <w:sz w:val="20"/>
              </w:rPr>
              <w:t xml:space="preserve">Key updates </w:t>
            </w:r>
            <w:r>
              <w:rPr>
                <w:rFonts w:eastAsia="Aptos"/>
                <w:sz w:val="20"/>
              </w:rPr>
              <w:t>include:</w:t>
            </w:r>
          </w:p>
          <w:p w14:paraId="2CA66738" w14:textId="6B456AC9" w:rsidR="00AC799B" w:rsidRPr="0094480F" w:rsidRDefault="00AC799B" w:rsidP="00AC799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94480F">
              <w:rPr>
                <w:rFonts w:eastAsia="Aptos"/>
                <w:sz w:val="20"/>
              </w:rPr>
              <w:t xml:space="preserve">Starting with the July 2024 billing cycle, exceptions for the </w:t>
            </w:r>
            <w:r w:rsidR="001062AE">
              <w:rPr>
                <w:rFonts w:eastAsia="Aptos"/>
                <w:sz w:val="20"/>
              </w:rPr>
              <w:t>H</w:t>
            </w:r>
            <w:r w:rsidRPr="0094480F">
              <w:rPr>
                <w:rFonts w:eastAsia="Aptos"/>
                <w:sz w:val="20"/>
              </w:rPr>
              <w:t xml:space="preserve">ybrid </w:t>
            </w:r>
            <w:r w:rsidR="001062AE">
              <w:rPr>
                <w:rFonts w:eastAsia="Aptos"/>
                <w:sz w:val="20"/>
              </w:rPr>
              <w:t>R</w:t>
            </w:r>
            <w:r w:rsidRPr="0094480F">
              <w:rPr>
                <w:rFonts w:eastAsia="Aptos"/>
                <w:sz w:val="20"/>
              </w:rPr>
              <w:t xml:space="preserve">etirement </w:t>
            </w:r>
            <w:r w:rsidR="001062AE">
              <w:rPr>
                <w:rFonts w:eastAsia="Aptos"/>
                <w:sz w:val="20"/>
              </w:rPr>
              <w:t>P</w:t>
            </w:r>
            <w:r w:rsidRPr="0094480F">
              <w:rPr>
                <w:rFonts w:eastAsia="Aptos"/>
                <w:sz w:val="20"/>
              </w:rPr>
              <w:t xml:space="preserve">lan will </w:t>
            </w:r>
            <w:r w:rsidR="001062AE">
              <w:rPr>
                <w:rFonts w:eastAsia="Aptos"/>
                <w:sz w:val="20"/>
              </w:rPr>
              <w:t xml:space="preserve">now </w:t>
            </w:r>
            <w:r w:rsidRPr="0094480F">
              <w:rPr>
                <w:rFonts w:eastAsia="Aptos"/>
                <w:sz w:val="20"/>
              </w:rPr>
              <w:t xml:space="preserve">appear </w:t>
            </w:r>
            <w:r w:rsidR="001062AE">
              <w:rPr>
                <w:rFonts w:eastAsia="Aptos"/>
                <w:sz w:val="20"/>
              </w:rPr>
              <w:t xml:space="preserve">under </w:t>
            </w:r>
            <w:r w:rsidRPr="0094480F">
              <w:rPr>
                <w:rFonts w:eastAsia="Aptos"/>
                <w:sz w:val="20"/>
              </w:rPr>
              <w:t>the “Employee Retirement DB” section of th</w:t>
            </w:r>
            <w:r w:rsidR="001062AE">
              <w:rPr>
                <w:rFonts w:eastAsia="Aptos"/>
                <w:sz w:val="20"/>
              </w:rPr>
              <w:t>is</w:t>
            </w:r>
            <w:r w:rsidRPr="0094480F">
              <w:rPr>
                <w:rFonts w:eastAsia="Aptos"/>
                <w:sz w:val="20"/>
              </w:rPr>
              <w:t xml:space="preserve"> report. </w:t>
            </w:r>
            <w:r w:rsidR="00B803CB">
              <w:rPr>
                <w:rFonts w:eastAsia="Aptos"/>
                <w:sz w:val="20"/>
              </w:rPr>
              <w:t>Previously, these exceptions were associated with t</w:t>
            </w:r>
            <w:r w:rsidRPr="0094480F">
              <w:rPr>
                <w:rFonts w:eastAsia="Aptos"/>
                <w:sz w:val="20"/>
              </w:rPr>
              <w:t>he “Hybrid Retirement” section</w:t>
            </w:r>
            <w:r w:rsidR="00B803CB">
              <w:rPr>
                <w:rFonts w:eastAsia="Aptos"/>
                <w:sz w:val="20"/>
              </w:rPr>
              <w:t xml:space="preserve">, which was tied to </w:t>
            </w:r>
            <w:r w:rsidRPr="0094480F">
              <w:rPr>
                <w:rFonts w:eastAsia="Aptos"/>
                <w:sz w:val="20"/>
              </w:rPr>
              <w:t>the 7V, Hybrid Retirement</w:t>
            </w:r>
            <w:r w:rsidR="00B803CB">
              <w:rPr>
                <w:rFonts w:eastAsia="Aptos"/>
                <w:sz w:val="20"/>
              </w:rPr>
              <w:t xml:space="preserve"> </w:t>
            </w:r>
            <w:r w:rsidRPr="0094480F">
              <w:rPr>
                <w:rFonts w:eastAsia="Aptos"/>
                <w:sz w:val="20"/>
              </w:rPr>
              <w:t xml:space="preserve">plan type that ended on </w:t>
            </w:r>
            <w:r>
              <w:rPr>
                <w:rFonts w:eastAsia="Aptos"/>
                <w:sz w:val="20"/>
              </w:rPr>
              <w:t>6/30</w:t>
            </w:r>
            <w:r w:rsidRPr="0094480F">
              <w:rPr>
                <w:rFonts w:eastAsia="Aptos"/>
                <w:sz w:val="20"/>
              </w:rPr>
              <w:t>/2024.</w:t>
            </w:r>
          </w:p>
          <w:p w14:paraId="06D28D9D" w14:textId="2985E577" w:rsidR="00AC799B" w:rsidRDefault="00AC799B" w:rsidP="00AC799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Pr>
                <w:rFonts w:eastAsia="Aptos"/>
                <w:sz w:val="20"/>
              </w:rPr>
              <w:t xml:space="preserve">The report now </w:t>
            </w:r>
            <w:r w:rsidR="00B803CB">
              <w:rPr>
                <w:rFonts w:eastAsia="Aptos"/>
                <w:sz w:val="20"/>
              </w:rPr>
              <w:t>generates two</w:t>
            </w:r>
            <w:r>
              <w:rPr>
                <w:rFonts w:eastAsia="Aptos"/>
                <w:sz w:val="20"/>
              </w:rPr>
              <w:t xml:space="preserve"> pages for any Business Unit for which no VRS Billing Exceptions or VRS Billing Transaction Errors are </w:t>
            </w:r>
            <w:r w:rsidR="00B803CB">
              <w:rPr>
                <w:rFonts w:eastAsia="Aptos"/>
                <w:sz w:val="20"/>
              </w:rPr>
              <w:t>detected</w:t>
            </w:r>
            <w:r>
              <w:rPr>
                <w:rFonts w:eastAsia="Aptos"/>
                <w:sz w:val="20"/>
              </w:rPr>
              <w:t xml:space="preserve">. The Business Unit displays in the header </w:t>
            </w:r>
            <w:r w:rsidR="00B803CB">
              <w:rPr>
                <w:rFonts w:eastAsia="Aptos"/>
                <w:sz w:val="20"/>
              </w:rPr>
              <w:t xml:space="preserve">to clearly indicate </w:t>
            </w:r>
            <w:r>
              <w:rPr>
                <w:rFonts w:eastAsia="Aptos"/>
                <w:sz w:val="20"/>
              </w:rPr>
              <w:t xml:space="preserve">that no exceptions or errors </w:t>
            </w:r>
            <w:r w:rsidR="00B803CB">
              <w:rPr>
                <w:rFonts w:eastAsia="Aptos"/>
                <w:sz w:val="20"/>
              </w:rPr>
              <w:t xml:space="preserve">were </w:t>
            </w:r>
            <w:r>
              <w:rPr>
                <w:rFonts w:eastAsia="Aptos"/>
                <w:sz w:val="20"/>
              </w:rPr>
              <w:t xml:space="preserve">found for that agency. </w:t>
            </w:r>
          </w:p>
          <w:p w14:paraId="568F7156" w14:textId="18E486EE" w:rsidR="00AC799B" w:rsidRPr="00D14385" w:rsidRDefault="00AC799B" w:rsidP="00521A5F">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D14385">
              <w:rPr>
                <w:rFonts w:eastAsia="Aptos"/>
                <w:sz w:val="20"/>
              </w:rPr>
              <w:t xml:space="preserve">When </w:t>
            </w:r>
            <w:r w:rsidR="00B803CB" w:rsidRPr="00D14385">
              <w:rPr>
                <w:rFonts w:eastAsia="Aptos"/>
                <w:sz w:val="20"/>
              </w:rPr>
              <w:t xml:space="preserve">the report is </w:t>
            </w:r>
            <w:r w:rsidRPr="00D14385">
              <w:rPr>
                <w:rFonts w:eastAsia="Aptos"/>
                <w:sz w:val="20"/>
              </w:rPr>
              <w:t xml:space="preserve">run for a specific </w:t>
            </w:r>
            <w:r w:rsidR="00D14385" w:rsidRPr="00D14385">
              <w:rPr>
                <w:rFonts w:eastAsia="Aptos"/>
                <w:sz w:val="20"/>
              </w:rPr>
              <w:t>employee,</w:t>
            </w:r>
            <w:r w:rsidR="00D14385">
              <w:rPr>
                <w:rFonts w:eastAsia="Aptos"/>
                <w:sz w:val="20"/>
              </w:rPr>
              <w:t xml:space="preserve"> a</w:t>
            </w:r>
            <w:r w:rsidRPr="00D14385">
              <w:rPr>
                <w:rFonts w:eastAsia="Aptos"/>
                <w:sz w:val="20"/>
              </w:rPr>
              <w:t xml:space="preserve"> message including the </w:t>
            </w:r>
            <w:r w:rsidR="00B803CB" w:rsidRPr="00D14385">
              <w:rPr>
                <w:rFonts w:eastAsia="Aptos"/>
                <w:sz w:val="20"/>
              </w:rPr>
              <w:t>E</w:t>
            </w:r>
            <w:r w:rsidRPr="00D14385">
              <w:rPr>
                <w:rFonts w:eastAsia="Aptos"/>
                <w:sz w:val="20"/>
              </w:rPr>
              <w:t xml:space="preserve">mployee ID will </w:t>
            </w:r>
            <w:r w:rsidR="00B803CB" w:rsidRPr="00D14385">
              <w:rPr>
                <w:rFonts w:eastAsia="Aptos"/>
                <w:sz w:val="20"/>
              </w:rPr>
              <w:t xml:space="preserve">appear </w:t>
            </w:r>
            <w:r w:rsidRPr="00D14385">
              <w:rPr>
                <w:rFonts w:eastAsia="Aptos"/>
                <w:sz w:val="20"/>
              </w:rPr>
              <w:t>if no exceptions are found.</w:t>
            </w:r>
          </w:p>
          <w:p w14:paraId="128CBF48" w14:textId="08BC83AA" w:rsidR="00AC799B" w:rsidRDefault="00AC799B" w:rsidP="00AC799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B953F9">
              <w:rPr>
                <w:rFonts w:eastAsia="Aptos"/>
                <w:sz w:val="20"/>
              </w:rPr>
              <w:t>VRS Billing Transaction Errors</w:t>
            </w:r>
            <w:r w:rsidR="00B953F9">
              <w:rPr>
                <w:rFonts w:eastAsia="Aptos"/>
                <w:sz w:val="20"/>
              </w:rPr>
              <w:t xml:space="preserve"> - </w:t>
            </w:r>
            <w:r w:rsidR="00B803CB">
              <w:rPr>
                <w:rFonts w:eastAsia="Aptos"/>
                <w:sz w:val="20"/>
              </w:rPr>
              <w:t xml:space="preserve">A </w:t>
            </w:r>
            <w:r>
              <w:rPr>
                <w:rFonts w:eastAsia="Aptos"/>
                <w:sz w:val="20"/>
              </w:rPr>
              <w:t xml:space="preserve">new section </w:t>
            </w:r>
            <w:r w:rsidR="00B803CB">
              <w:rPr>
                <w:rFonts w:eastAsia="Aptos"/>
                <w:sz w:val="20"/>
              </w:rPr>
              <w:t>has been</w:t>
            </w:r>
            <w:r>
              <w:rPr>
                <w:rFonts w:eastAsia="Aptos"/>
                <w:sz w:val="20"/>
              </w:rPr>
              <w:t xml:space="preserve"> added to the end of the report for each agency. </w:t>
            </w:r>
            <w:r w:rsidR="008D047D">
              <w:rPr>
                <w:rFonts w:eastAsia="Aptos"/>
                <w:sz w:val="20"/>
              </w:rPr>
              <w:t xml:space="preserve"> </w:t>
            </w:r>
            <w:r w:rsidR="00B803CB">
              <w:rPr>
                <w:rFonts w:eastAsia="Aptos"/>
                <w:sz w:val="20"/>
              </w:rPr>
              <w:t xml:space="preserve">This section lists </w:t>
            </w:r>
            <w:r w:rsidRPr="0094480F">
              <w:rPr>
                <w:rFonts w:eastAsia="Aptos"/>
                <w:sz w:val="20"/>
              </w:rPr>
              <w:t>transaction</w:t>
            </w:r>
            <w:r w:rsidR="00B803CB">
              <w:rPr>
                <w:rFonts w:eastAsia="Aptos"/>
                <w:sz w:val="20"/>
              </w:rPr>
              <w:t xml:space="preserve">s that Cardinal </w:t>
            </w:r>
            <w:r w:rsidRPr="0094480F">
              <w:rPr>
                <w:rFonts w:eastAsia="Aptos"/>
                <w:sz w:val="20"/>
              </w:rPr>
              <w:t>could not reconcile</w:t>
            </w:r>
            <w:r w:rsidR="00B803CB">
              <w:rPr>
                <w:rFonts w:eastAsia="Aptos"/>
                <w:sz w:val="20"/>
              </w:rPr>
              <w:t xml:space="preserve">. </w:t>
            </w:r>
            <w:r w:rsidRPr="0094480F">
              <w:rPr>
                <w:rFonts w:eastAsia="Aptos"/>
                <w:sz w:val="20"/>
              </w:rPr>
              <w:t xml:space="preserve">Agency personnel </w:t>
            </w:r>
            <w:r w:rsidR="00B803CB">
              <w:rPr>
                <w:rFonts w:eastAsia="Aptos"/>
                <w:sz w:val="20"/>
              </w:rPr>
              <w:t xml:space="preserve">are advised to </w:t>
            </w:r>
            <w:r w:rsidRPr="0094480F">
              <w:rPr>
                <w:rFonts w:eastAsia="Aptos"/>
                <w:sz w:val="20"/>
              </w:rPr>
              <w:t xml:space="preserve">review </w:t>
            </w:r>
            <w:r>
              <w:rPr>
                <w:rFonts w:eastAsia="Aptos"/>
                <w:sz w:val="20"/>
              </w:rPr>
              <w:t xml:space="preserve">these </w:t>
            </w:r>
            <w:r w:rsidRPr="0094480F">
              <w:rPr>
                <w:rFonts w:eastAsia="Aptos"/>
                <w:sz w:val="20"/>
              </w:rPr>
              <w:t xml:space="preserve">transactions and </w:t>
            </w:r>
            <w:r w:rsidR="00B803CB">
              <w:rPr>
                <w:rFonts w:eastAsia="Aptos"/>
                <w:sz w:val="20"/>
              </w:rPr>
              <w:t xml:space="preserve">take </w:t>
            </w:r>
            <w:r w:rsidRPr="0094480F">
              <w:rPr>
                <w:rFonts w:eastAsia="Aptos"/>
                <w:sz w:val="20"/>
              </w:rPr>
              <w:t>necessary action</w:t>
            </w:r>
            <w:r w:rsidR="00B803CB">
              <w:rPr>
                <w:rFonts w:eastAsia="Aptos"/>
                <w:sz w:val="20"/>
              </w:rPr>
              <w:t>s</w:t>
            </w:r>
            <w:r w:rsidRPr="0094480F">
              <w:rPr>
                <w:rFonts w:eastAsia="Aptos"/>
                <w:sz w:val="20"/>
              </w:rPr>
              <w:t xml:space="preserve">. </w:t>
            </w:r>
            <w:r w:rsidR="00B803CB">
              <w:rPr>
                <w:rFonts w:eastAsia="Aptos"/>
                <w:sz w:val="20"/>
              </w:rPr>
              <w:t xml:space="preserve">For further guidance, refer to the </w:t>
            </w:r>
            <w:r>
              <w:rPr>
                <w:rFonts w:eastAsia="Aptos"/>
                <w:sz w:val="20"/>
              </w:rPr>
              <w:t>“Errors and Warnings” listed in the VRS Billing Details query section above.</w:t>
            </w:r>
          </w:p>
          <w:p w14:paraId="3C92EC06" w14:textId="77777777" w:rsidR="00AC799B" w:rsidRPr="001919B5" w:rsidRDefault="00AC799B" w:rsidP="00A5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p>
          <w:p w14:paraId="11AB6574" w14:textId="22476227" w:rsidR="00AC799B" w:rsidRDefault="00AC799B" w:rsidP="00B9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rFonts w:eastAsia="Aptos"/>
                <w:sz w:val="20"/>
              </w:rPr>
            </w:pPr>
            <w:r w:rsidRPr="00F14C7B">
              <w:rPr>
                <w:rFonts w:eastAsia="Aptos"/>
                <w:sz w:val="20"/>
              </w:rPr>
              <w:t>Navigation:  Menu &gt; Benefits &gt; Reports &gt; VRS Billing Exceptions</w:t>
            </w:r>
          </w:p>
        </w:tc>
      </w:tr>
    </w:tbl>
    <w:p w14:paraId="3161A0EA" w14:textId="77777777" w:rsidR="00AC799B" w:rsidRPr="000E7BB1" w:rsidRDefault="00AC799B" w:rsidP="00AC799B">
      <w:pPr>
        <w:pStyle w:val="BlockLine"/>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334F68" w14:paraId="19E1D1CD" w14:textId="77777777" w:rsidTr="00A56643">
        <w:tc>
          <w:tcPr>
            <w:tcW w:w="1713" w:type="dxa"/>
            <w:tcMar>
              <w:top w:w="0" w:type="dxa"/>
              <w:left w:w="108" w:type="dxa"/>
              <w:bottom w:w="0" w:type="dxa"/>
              <w:right w:w="108" w:type="dxa"/>
            </w:tcMar>
            <w:hideMark/>
          </w:tcPr>
          <w:p w14:paraId="43546653" w14:textId="77777777" w:rsidR="00AC799B" w:rsidRPr="00334F68" w:rsidRDefault="00AC799B" w:rsidP="00A56643">
            <w:pPr>
              <w:rPr>
                <w:b/>
                <w:bCs/>
                <w:sz w:val="22"/>
                <w:szCs w:val="22"/>
              </w:rPr>
            </w:pPr>
            <w:r>
              <w:rPr>
                <w:b/>
                <w:bCs/>
                <w:sz w:val="22"/>
                <w:szCs w:val="22"/>
              </w:rPr>
              <w:t>VRS Billing Summary Report (RHR079)</w:t>
            </w:r>
          </w:p>
        </w:tc>
        <w:tc>
          <w:tcPr>
            <w:tcW w:w="9090" w:type="dxa"/>
            <w:tcMar>
              <w:left w:w="115" w:type="dxa"/>
              <w:right w:w="115" w:type="dxa"/>
            </w:tcMar>
          </w:tcPr>
          <w:p w14:paraId="17E658BE" w14:textId="12B466A4" w:rsidR="00AC799B" w:rsidRDefault="00AC799B" w:rsidP="00A56643">
            <w:pPr>
              <w:rPr>
                <w:rFonts w:eastAsia="Aptos"/>
                <w:sz w:val="20"/>
              </w:rPr>
            </w:pPr>
            <w:r>
              <w:rPr>
                <w:rFonts w:eastAsia="Aptos"/>
                <w:sz w:val="20"/>
              </w:rPr>
              <w:t xml:space="preserve">This report is updated for the VRS Hybrid Rate Separation and to provide additional information. </w:t>
            </w:r>
            <w:r w:rsidR="00B33704">
              <w:rPr>
                <w:rFonts w:eastAsia="Aptos"/>
                <w:sz w:val="20"/>
              </w:rPr>
              <w:br/>
              <w:t>Key c</w:t>
            </w:r>
            <w:r>
              <w:rPr>
                <w:rFonts w:eastAsia="Aptos"/>
                <w:sz w:val="20"/>
              </w:rPr>
              <w:t>hanges include:</w:t>
            </w:r>
          </w:p>
          <w:p w14:paraId="7AE73BA6" w14:textId="44705652" w:rsidR="00AC799B" w:rsidRPr="00CA27D5" w:rsidRDefault="00AC799B" w:rsidP="00AC799B">
            <w:pPr>
              <w:pStyle w:val="ListParagraph"/>
              <w:numPr>
                <w:ilvl w:val="0"/>
                <w:numId w:val="9"/>
              </w:numPr>
              <w:rPr>
                <w:rFonts w:eastAsia="Aptos"/>
                <w:sz w:val="20"/>
              </w:rPr>
            </w:pPr>
            <w:r w:rsidRPr="00CA27D5">
              <w:rPr>
                <w:rFonts w:eastAsia="Aptos"/>
                <w:sz w:val="20"/>
              </w:rPr>
              <w:t xml:space="preserve">Starting with the July 2024 billing cycle, amounts </w:t>
            </w:r>
            <w:r w:rsidR="00B33704">
              <w:rPr>
                <w:rFonts w:eastAsia="Aptos"/>
                <w:sz w:val="20"/>
              </w:rPr>
              <w:t xml:space="preserve">previously </w:t>
            </w:r>
            <w:r w:rsidRPr="00CA27D5">
              <w:rPr>
                <w:rFonts w:eastAsia="Aptos"/>
                <w:sz w:val="20"/>
              </w:rPr>
              <w:t xml:space="preserve">shown under </w:t>
            </w:r>
            <w:r w:rsidR="00B33704">
              <w:rPr>
                <w:rFonts w:eastAsia="Aptos"/>
                <w:sz w:val="20"/>
              </w:rPr>
              <w:t xml:space="preserve">the </w:t>
            </w:r>
            <w:r w:rsidR="00B33704" w:rsidRPr="00CA27D5">
              <w:rPr>
                <w:rFonts w:eastAsia="Aptos"/>
                <w:sz w:val="20"/>
              </w:rPr>
              <w:t xml:space="preserve">“Hybrid Retirement </w:t>
            </w:r>
            <w:r w:rsidRPr="00CA27D5">
              <w:rPr>
                <w:rFonts w:eastAsia="Aptos"/>
                <w:sz w:val="20"/>
              </w:rPr>
              <w:t>Benefit</w:t>
            </w:r>
            <w:r w:rsidR="003864F0">
              <w:rPr>
                <w:rFonts w:eastAsia="Aptos"/>
                <w:sz w:val="20"/>
              </w:rPr>
              <w:t>”</w:t>
            </w:r>
            <w:r w:rsidRPr="00CA27D5">
              <w:rPr>
                <w:rFonts w:eastAsia="Aptos"/>
                <w:sz w:val="20"/>
              </w:rPr>
              <w:t xml:space="preserve"> Plan Type </w:t>
            </w:r>
            <w:r w:rsidR="00B33704">
              <w:rPr>
                <w:rFonts w:eastAsia="Aptos"/>
                <w:sz w:val="20"/>
              </w:rPr>
              <w:t xml:space="preserve">will now be included in the </w:t>
            </w:r>
            <w:r w:rsidRPr="00CA27D5">
              <w:rPr>
                <w:rFonts w:eastAsia="Aptos"/>
                <w:sz w:val="20"/>
              </w:rPr>
              <w:t>“Employee Retirement DB”</w:t>
            </w:r>
            <w:r w:rsidR="00B33704">
              <w:rPr>
                <w:rFonts w:eastAsia="Aptos"/>
                <w:sz w:val="20"/>
              </w:rPr>
              <w:t xml:space="preserve"> category</w:t>
            </w:r>
            <w:r w:rsidRPr="00CA27D5">
              <w:rPr>
                <w:rFonts w:eastAsia="Aptos"/>
                <w:sz w:val="20"/>
              </w:rPr>
              <w:t xml:space="preserve"> for employees in the hybrid retirement DB plan. The “Hybrid Retirement” </w:t>
            </w:r>
            <w:r w:rsidR="00B33704">
              <w:rPr>
                <w:rFonts w:eastAsia="Aptos"/>
                <w:sz w:val="20"/>
              </w:rPr>
              <w:t xml:space="preserve">row </w:t>
            </w:r>
            <w:r w:rsidRPr="00CA27D5">
              <w:rPr>
                <w:rFonts w:eastAsia="Aptos"/>
                <w:sz w:val="20"/>
              </w:rPr>
              <w:t>will no longer appear</w:t>
            </w:r>
            <w:r w:rsidR="00B33704">
              <w:rPr>
                <w:rFonts w:eastAsia="Aptos"/>
                <w:sz w:val="20"/>
              </w:rPr>
              <w:t xml:space="preserve"> in the report</w:t>
            </w:r>
            <w:r w:rsidRPr="00CA27D5">
              <w:rPr>
                <w:rFonts w:eastAsia="Aptos"/>
                <w:sz w:val="20"/>
              </w:rPr>
              <w:t xml:space="preserve">. </w:t>
            </w:r>
          </w:p>
          <w:p w14:paraId="13E84C37" w14:textId="51E72BE1" w:rsidR="00AC799B" w:rsidRPr="00B96D09" w:rsidRDefault="00AC799B" w:rsidP="00AC799B">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3864F0">
              <w:rPr>
                <w:rFonts w:eastAsia="Aptos"/>
                <w:sz w:val="20"/>
              </w:rPr>
              <w:t>VRS Billed Amounts Not Reconciled</w:t>
            </w:r>
            <w:r w:rsidR="003864F0">
              <w:rPr>
                <w:rFonts w:eastAsia="Aptos"/>
                <w:sz w:val="20"/>
              </w:rPr>
              <w:t xml:space="preserve"> - </w:t>
            </w:r>
            <w:r w:rsidR="00660114">
              <w:rPr>
                <w:rFonts w:eastAsia="Aptos"/>
                <w:sz w:val="20"/>
              </w:rPr>
              <w:t xml:space="preserve">A </w:t>
            </w:r>
            <w:r>
              <w:rPr>
                <w:rFonts w:eastAsia="Aptos"/>
                <w:sz w:val="20"/>
              </w:rPr>
              <w:t xml:space="preserve">new section </w:t>
            </w:r>
            <w:r w:rsidR="00660114">
              <w:rPr>
                <w:rFonts w:eastAsia="Aptos"/>
                <w:sz w:val="20"/>
              </w:rPr>
              <w:t xml:space="preserve">has been </w:t>
            </w:r>
            <w:r>
              <w:rPr>
                <w:rFonts w:eastAsia="Aptos"/>
                <w:sz w:val="20"/>
              </w:rPr>
              <w:t xml:space="preserve">added to the end of the report. </w:t>
            </w:r>
            <w:r w:rsidR="00660114">
              <w:rPr>
                <w:rFonts w:eastAsia="Aptos"/>
                <w:sz w:val="20"/>
              </w:rPr>
              <w:t xml:space="preserve">This section highlights any transactions on the </w:t>
            </w:r>
            <w:r w:rsidRPr="00B96D09">
              <w:rPr>
                <w:rFonts w:eastAsia="Aptos"/>
                <w:sz w:val="20"/>
              </w:rPr>
              <w:t xml:space="preserve">VRS billing file </w:t>
            </w:r>
            <w:r w:rsidR="00660114">
              <w:rPr>
                <w:rFonts w:eastAsia="Aptos"/>
                <w:sz w:val="20"/>
              </w:rPr>
              <w:t>that Cardinal was unable to reconcile. T</w:t>
            </w:r>
            <w:r w:rsidRPr="00B96D09">
              <w:rPr>
                <w:rFonts w:eastAsia="Aptos"/>
                <w:sz w:val="20"/>
              </w:rPr>
              <w:t xml:space="preserve">he total </w:t>
            </w:r>
            <w:r w:rsidR="00660114">
              <w:rPr>
                <w:rFonts w:eastAsia="Aptos"/>
                <w:sz w:val="20"/>
              </w:rPr>
              <w:t xml:space="preserve">unreconciled </w:t>
            </w:r>
            <w:r w:rsidRPr="00B96D09">
              <w:rPr>
                <w:rFonts w:eastAsia="Aptos"/>
                <w:sz w:val="20"/>
              </w:rPr>
              <w:t xml:space="preserve">amounts </w:t>
            </w:r>
            <w:r>
              <w:rPr>
                <w:rFonts w:eastAsia="Aptos"/>
                <w:sz w:val="20"/>
              </w:rPr>
              <w:t>are</w:t>
            </w:r>
            <w:r w:rsidRPr="00B96D09">
              <w:rPr>
                <w:rFonts w:eastAsia="Aptos"/>
                <w:sz w:val="20"/>
              </w:rPr>
              <w:t xml:space="preserve"> </w:t>
            </w:r>
            <w:r w:rsidR="00660114">
              <w:rPr>
                <w:rFonts w:eastAsia="Aptos"/>
                <w:sz w:val="20"/>
              </w:rPr>
              <w:t xml:space="preserve">listed </w:t>
            </w:r>
            <w:r>
              <w:rPr>
                <w:rFonts w:eastAsia="Aptos"/>
                <w:sz w:val="20"/>
              </w:rPr>
              <w:t xml:space="preserve">by Business Unit and VRS Org Code, </w:t>
            </w:r>
            <w:r w:rsidR="00660114">
              <w:rPr>
                <w:rFonts w:eastAsia="Aptos"/>
                <w:sz w:val="20"/>
              </w:rPr>
              <w:t xml:space="preserve">categorized by </w:t>
            </w:r>
            <w:r>
              <w:rPr>
                <w:rFonts w:eastAsia="Aptos"/>
                <w:sz w:val="20"/>
              </w:rPr>
              <w:t>their e</w:t>
            </w:r>
            <w:r w:rsidRPr="00B96D09">
              <w:rPr>
                <w:rFonts w:eastAsia="Aptos"/>
                <w:sz w:val="20"/>
              </w:rPr>
              <w:t>xpenditure account</w:t>
            </w:r>
            <w:r w:rsidR="00660114">
              <w:rPr>
                <w:rFonts w:eastAsia="Aptos"/>
                <w:sz w:val="20"/>
              </w:rPr>
              <w:t>s</w:t>
            </w:r>
            <w:r w:rsidRPr="00B96D09">
              <w:rPr>
                <w:rFonts w:eastAsia="Aptos"/>
                <w:sz w:val="20"/>
              </w:rPr>
              <w:t xml:space="preserve">. </w:t>
            </w:r>
          </w:p>
          <w:p w14:paraId="51C085AA" w14:textId="77777777" w:rsidR="00AC799B" w:rsidRDefault="00AC799B" w:rsidP="00A5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p>
          <w:p w14:paraId="3522FA1C" w14:textId="278D4351" w:rsidR="00AC799B" w:rsidRPr="00334F68" w:rsidRDefault="00AC799B" w:rsidP="003864F0">
            <w:pPr>
              <w:jc w:val="center"/>
              <w:rPr>
                <w:sz w:val="20"/>
              </w:rPr>
            </w:pPr>
            <w:r w:rsidRPr="00E70997">
              <w:rPr>
                <w:rFonts w:eastAsia="Aptos"/>
                <w:sz w:val="20"/>
                <w14:ligatures w14:val="standardContextual"/>
              </w:rPr>
              <w:t xml:space="preserve">Navigation:  Menu &gt; Benefits &gt; Reports &gt; </w:t>
            </w:r>
            <w:r>
              <w:rPr>
                <w:rFonts w:eastAsia="Aptos"/>
                <w:sz w:val="20"/>
                <w14:ligatures w14:val="standardContextual"/>
              </w:rPr>
              <w:t>VRS Billing Summary</w:t>
            </w:r>
          </w:p>
        </w:tc>
      </w:tr>
    </w:tbl>
    <w:p w14:paraId="073A5FD8" w14:textId="657C8F57" w:rsidR="00AC799B" w:rsidRPr="005733C1" w:rsidRDefault="005733C1" w:rsidP="005733C1">
      <w:pPr>
        <w:pStyle w:val="BlockLine"/>
        <w:spacing w:before="120"/>
        <w:ind w:left="1699"/>
        <w:jc w:val="right"/>
        <w:rPr>
          <w:bCs/>
          <w:i/>
          <w:iCs/>
          <w:sz w:val="16"/>
          <w:szCs w:val="16"/>
        </w:rPr>
      </w:pPr>
      <w:proofErr w:type="gramStart"/>
      <w:r w:rsidRPr="005733C1">
        <w:rPr>
          <w:bCs/>
          <w:i/>
          <w:iCs/>
          <w:sz w:val="16"/>
          <w:szCs w:val="16"/>
        </w:rPr>
        <w:t>Continued on</w:t>
      </w:r>
      <w:proofErr w:type="gramEnd"/>
      <w:r w:rsidRPr="005733C1">
        <w:rPr>
          <w:bCs/>
          <w:i/>
          <w:iCs/>
          <w:sz w:val="16"/>
          <w:szCs w:val="16"/>
        </w:rPr>
        <w:t xml:space="preserve"> the next page</w:t>
      </w:r>
    </w:p>
    <w:p w14:paraId="7C78B920" w14:textId="77777777" w:rsidR="005E5F7C" w:rsidRDefault="005E5F7C">
      <w:pPr>
        <w:rPr>
          <w:b/>
          <w:szCs w:val="24"/>
        </w:rPr>
      </w:pPr>
      <w:r>
        <w:rPr>
          <w:b/>
          <w:szCs w:val="24"/>
        </w:rPr>
        <w:br w:type="page"/>
      </w:r>
    </w:p>
    <w:p w14:paraId="657BA80D" w14:textId="715C4966" w:rsidR="00AC799B" w:rsidRPr="00B47C1A" w:rsidRDefault="00AC799B" w:rsidP="00AC799B">
      <w:pPr>
        <w:rPr>
          <w:b/>
          <w:szCs w:val="24"/>
        </w:rPr>
      </w:pPr>
      <w:r>
        <w:rPr>
          <w:b/>
          <w:szCs w:val="24"/>
        </w:rPr>
        <w:lastRenderedPageBreak/>
        <w:t>Other Retirement Reminders</w:t>
      </w:r>
    </w:p>
    <w:p w14:paraId="53EAD89B" w14:textId="77777777" w:rsidR="00AC799B" w:rsidRPr="000E7BB1" w:rsidRDefault="00AC799B" w:rsidP="00AC799B">
      <w:pPr>
        <w:pStyle w:val="BlockLine"/>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334F68" w14:paraId="3C22C918" w14:textId="77777777" w:rsidTr="00A56643">
        <w:tc>
          <w:tcPr>
            <w:tcW w:w="1713" w:type="dxa"/>
            <w:tcMar>
              <w:top w:w="0" w:type="dxa"/>
              <w:left w:w="108" w:type="dxa"/>
              <w:bottom w:w="0" w:type="dxa"/>
              <w:right w:w="108" w:type="dxa"/>
            </w:tcMar>
            <w:hideMark/>
          </w:tcPr>
          <w:p w14:paraId="7384A2FF" w14:textId="77777777" w:rsidR="00AC799B" w:rsidRPr="00334F68" w:rsidRDefault="00AC799B" w:rsidP="00A56643">
            <w:pPr>
              <w:rPr>
                <w:b/>
                <w:bCs/>
                <w:sz w:val="22"/>
                <w:szCs w:val="22"/>
              </w:rPr>
            </w:pPr>
            <w:r>
              <w:rPr>
                <w:b/>
                <w:bCs/>
                <w:sz w:val="22"/>
                <w:szCs w:val="22"/>
              </w:rPr>
              <w:t>VRS Org Codes</w:t>
            </w:r>
          </w:p>
        </w:tc>
        <w:tc>
          <w:tcPr>
            <w:tcW w:w="9090" w:type="dxa"/>
            <w:tcMar>
              <w:top w:w="0" w:type="dxa"/>
              <w:left w:w="108" w:type="dxa"/>
              <w:bottom w:w="0" w:type="dxa"/>
              <w:right w:w="108" w:type="dxa"/>
            </w:tcMar>
            <w:hideMark/>
          </w:tcPr>
          <w:p w14:paraId="426E1808" w14:textId="77777777" w:rsidR="00AC799B" w:rsidRDefault="00AC799B" w:rsidP="00A5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Pr>
                <w:rFonts w:eastAsia="Aptos"/>
                <w:sz w:val="20"/>
              </w:rPr>
              <w:t xml:space="preserve">The VRS Org Code is a two-digit prefix with the first three digits of the agency Business Unit (e.g., 30151). On Job Data, the VRS Org Code is stored in Elig </w:t>
            </w:r>
            <w:proofErr w:type="spellStart"/>
            <w:r>
              <w:rPr>
                <w:rFonts w:eastAsia="Aptos"/>
                <w:sz w:val="20"/>
              </w:rPr>
              <w:t>Fld</w:t>
            </w:r>
            <w:proofErr w:type="spellEnd"/>
            <w:r>
              <w:rPr>
                <w:rFonts w:eastAsia="Aptos"/>
                <w:sz w:val="20"/>
              </w:rPr>
              <w:t xml:space="preserve"> 6 on the Benefit Program Participation page. The four (4) prefix values are:</w:t>
            </w:r>
          </w:p>
          <w:p w14:paraId="149CCD71" w14:textId="77777777" w:rsidR="00AC799B" w:rsidRDefault="00AC799B" w:rsidP="00AC799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F93A20">
              <w:rPr>
                <w:rFonts w:eastAsia="Aptos"/>
                <w:sz w:val="20"/>
              </w:rPr>
              <w:t xml:space="preserve">11 – Judicial Retirement </w:t>
            </w:r>
          </w:p>
          <w:p w14:paraId="5E82160E" w14:textId="77777777" w:rsidR="00AC799B" w:rsidRPr="00F93A20" w:rsidRDefault="00AC799B" w:rsidP="00AC799B">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Pr>
                <w:rFonts w:eastAsia="Aptos"/>
                <w:sz w:val="20"/>
              </w:rPr>
              <w:t>D</w:t>
            </w:r>
            <w:r w:rsidRPr="00F93A20">
              <w:rPr>
                <w:rFonts w:eastAsia="Aptos"/>
                <w:sz w:val="20"/>
              </w:rPr>
              <w:t>eductions: HJRMDB, JUDRET, JUDMDB, GRPLFJ, RETHCJ, PPSJDA, PPSJDB</w:t>
            </w:r>
          </w:p>
          <w:p w14:paraId="3F950528" w14:textId="77777777" w:rsidR="00AC799B" w:rsidRDefault="00AC799B" w:rsidP="00AC799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F93A20">
              <w:rPr>
                <w:rFonts w:eastAsia="Aptos"/>
                <w:sz w:val="20"/>
              </w:rPr>
              <w:t>21 – SPORS</w:t>
            </w:r>
          </w:p>
          <w:p w14:paraId="52F3A2DA" w14:textId="77777777" w:rsidR="00AC799B" w:rsidRPr="00F93A20" w:rsidRDefault="00AC799B" w:rsidP="00AC799B">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Pr>
                <w:rFonts w:eastAsia="Aptos"/>
                <w:sz w:val="20"/>
              </w:rPr>
              <w:t>D</w:t>
            </w:r>
            <w:r w:rsidRPr="00F93A20">
              <w:rPr>
                <w:rFonts w:eastAsia="Aptos"/>
                <w:sz w:val="20"/>
              </w:rPr>
              <w:t>eductions: SPORS, GRPLFS, RETHCS, SDLTDS, PPSSPA, PPSSPB</w:t>
            </w:r>
          </w:p>
          <w:p w14:paraId="67BB5E6F" w14:textId="77777777" w:rsidR="00AC799B" w:rsidRDefault="00AC799B" w:rsidP="00AC799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F93A20">
              <w:rPr>
                <w:rFonts w:eastAsia="Aptos"/>
                <w:sz w:val="20"/>
              </w:rPr>
              <w:t>70 – VALORS</w:t>
            </w:r>
          </w:p>
          <w:p w14:paraId="1A22AEFB" w14:textId="77777777" w:rsidR="00AC799B" w:rsidRPr="00F93A20" w:rsidRDefault="00AC799B" w:rsidP="00AC799B">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Pr>
                <w:rFonts w:eastAsia="Aptos"/>
                <w:sz w:val="20"/>
              </w:rPr>
              <w:t>D</w:t>
            </w:r>
            <w:r w:rsidRPr="00F93A20">
              <w:rPr>
                <w:rFonts w:eastAsia="Aptos"/>
                <w:sz w:val="20"/>
              </w:rPr>
              <w:t>eductions: VALORS, GRLPFV, RETHCV, SDLTDV, PPSVLA, PPSVLB</w:t>
            </w:r>
          </w:p>
          <w:p w14:paraId="3F9F80D1" w14:textId="77777777" w:rsidR="00AC799B" w:rsidRDefault="00AC799B" w:rsidP="00AC799B">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F93A20">
              <w:rPr>
                <w:rFonts w:eastAsia="Aptos"/>
                <w:sz w:val="20"/>
              </w:rPr>
              <w:t xml:space="preserve">30 – VRS </w:t>
            </w:r>
            <w:r>
              <w:rPr>
                <w:rFonts w:eastAsia="Aptos"/>
                <w:sz w:val="20"/>
              </w:rPr>
              <w:t>(Elected Officials, Plan 1, Plan 2 &amp; Hybrid) and ORPs</w:t>
            </w:r>
          </w:p>
          <w:p w14:paraId="651D9D27" w14:textId="77777777" w:rsidR="00AC799B" w:rsidRPr="00FC6514" w:rsidRDefault="00AC799B" w:rsidP="00AC799B">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Pr>
                <w:rFonts w:eastAsia="Aptos"/>
                <w:sz w:val="20"/>
              </w:rPr>
              <w:t>D</w:t>
            </w:r>
            <w:r w:rsidRPr="00F93A20">
              <w:rPr>
                <w:rFonts w:eastAsia="Aptos"/>
                <w:sz w:val="20"/>
              </w:rPr>
              <w:t>eductions:  ELOFCL, HVRMDB, VRSRET, GVRSP2, GRPLFR, RETHCR, SDLTDR, PPSRTA, PPSRTB</w:t>
            </w:r>
          </w:p>
        </w:tc>
      </w:tr>
    </w:tbl>
    <w:p w14:paraId="1D897516" w14:textId="77777777" w:rsidR="00AC799B" w:rsidRPr="000E7BB1" w:rsidRDefault="00AC799B" w:rsidP="00AC799B">
      <w:pPr>
        <w:pStyle w:val="BlockLine"/>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334F68" w14:paraId="214AF2B4" w14:textId="77777777" w:rsidTr="00A56643">
        <w:tc>
          <w:tcPr>
            <w:tcW w:w="1713" w:type="dxa"/>
            <w:tcMar>
              <w:top w:w="0" w:type="dxa"/>
              <w:left w:w="108" w:type="dxa"/>
              <w:bottom w:w="0" w:type="dxa"/>
              <w:right w:w="108" w:type="dxa"/>
            </w:tcMar>
            <w:hideMark/>
          </w:tcPr>
          <w:p w14:paraId="3D5D9EE4" w14:textId="77777777" w:rsidR="00AC799B" w:rsidRPr="00334F68" w:rsidRDefault="00AC799B" w:rsidP="00A56643">
            <w:pPr>
              <w:rPr>
                <w:b/>
                <w:bCs/>
                <w:sz w:val="22"/>
                <w:szCs w:val="22"/>
              </w:rPr>
            </w:pPr>
            <w:r>
              <w:rPr>
                <w:b/>
                <w:bCs/>
                <w:sz w:val="22"/>
                <w:szCs w:val="22"/>
              </w:rPr>
              <w:t xml:space="preserve">Hybrid Retirement DB Employer Contributions </w:t>
            </w:r>
          </w:p>
        </w:tc>
        <w:tc>
          <w:tcPr>
            <w:tcW w:w="9090" w:type="dxa"/>
            <w:tcMar>
              <w:top w:w="0" w:type="dxa"/>
              <w:left w:w="108" w:type="dxa"/>
              <w:bottom w:w="0" w:type="dxa"/>
              <w:right w:w="108" w:type="dxa"/>
            </w:tcMar>
            <w:hideMark/>
          </w:tcPr>
          <w:p w14:paraId="4BA558C2" w14:textId="77777777" w:rsidR="00AC799B" w:rsidRPr="00F233E8" w:rsidRDefault="00AC799B" w:rsidP="00A5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Pr>
                <w:rFonts w:eastAsia="Aptos"/>
                <w:sz w:val="20"/>
              </w:rPr>
              <w:t xml:space="preserve">Starting with paychecks dated after 7/1/2024, Cardinal began charging agencies the employer contribution (nontaxable) amount calculated for deduction code HVRMDB (VRS Hybrid Defined Benefit) and for deduction code HJRMDB (Judicial Hybrid Defined Benefit). These fixed rate contributions replace the “blended” employer contribution previously charged to agencies. Deduction codes HBDBER and HJDBER are no longer used and will not appear on reports for payrolls processed in Plan Year 2025 and later. </w:t>
            </w:r>
          </w:p>
        </w:tc>
      </w:tr>
    </w:tbl>
    <w:p w14:paraId="534DB044" w14:textId="77777777" w:rsidR="00AC799B" w:rsidRPr="000E7BB1" w:rsidRDefault="00AC799B" w:rsidP="00AC799B">
      <w:pPr>
        <w:pStyle w:val="BlockLine"/>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AC799B" w:rsidRPr="00334F68" w14:paraId="0D12022E" w14:textId="77777777" w:rsidTr="00A56643">
        <w:tc>
          <w:tcPr>
            <w:tcW w:w="1713" w:type="dxa"/>
            <w:tcMar>
              <w:top w:w="0" w:type="dxa"/>
              <w:left w:w="108" w:type="dxa"/>
              <w:bottom w:w="0" w:type="dxa"/>
              <w:right w:w="108" w:type="dxa"/>
            </w:tcMar>
            <w:hideMark/>
          </w:tcPr>
          <w:p w14:paraId="6670087A" w14:textId="77777777" w:rsidR="00AC799B" w:rsidRPr="00334F68" w:rsidRDefault="00AC799B" w:rsidP="00A56643">
            <w:pPr>
              <w:rPr>
                <w:b/>
                <w:bCs/>
                <w:sz w:val="22"/>
                <w:szCs w:val="22"/>
              </w:rPr>
            </w:pPr>
            <w:r>
              <w:rPr>
                <w:b/>
                <w:bCs/>
                <w:sz w:val="22"/>
                <w:szCs w:val="22"/>
              </w:rPr>
              <w:t>Plan Type 7V Description Change</w:t>
            </w:r>
          </w:p>
        </w:tc>
        <w:tc>
          <w:tcPr>
            <w:tcW w:w="9090" w:type="dxa"/>
            <w:tcMar>
              <w:top w:w="0" w:type="dxa"/>
              <w:left w:w="108" w:type="dxa"/>
              <w:bottom w:w="0" w:type="dxa"/>
              <w:right w:w="108" w:type="dxa"/>
            </w:tcMar>
            <w:hideMark/>
          </w:tcPr>
          <w:p w14:paraId="7302201C" w14:textId="565B6308" w:rsidR="00AC799B" w:rsidRDefault="00AC799B" w:rsidP="00A5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Pr>
                <w:rFonts w:eastAsia="Aptos"/>
                <w:sz w:val="20"/>
              </w:rPr>
              <w:t>Cardinal has updated the description for plan type 7V to “</w:t>
            </w:r>
            <w:proofErr w:type="spellStart"/>
            <w:r w:rsidRPr="00DF08FD">
              <w:rPr>
                <w:rFonts w:eastAsia="Aptos"/>
                <w:sz w:val="20"/>
              </w:rPr>
              <w:t>Hybrd</w:t>
            </w:r>
            <w:proofErr w:type="spellEnd"/>
            <w:r w:rsidRPr="00DF08FD">
              <w:rPr>
                <w:rFonts w:eastAsia="Aptos"/>
                <w:sz w:val="20"/>
              </w:rPr>
              <w:t xml:space="preserve"> Blend ER Rt</w:t>
            </w:r>
            <w:r>
              <w:rPr>
                <w:rFonts w:eastAsia="Aptos"/>
                <w:sz w:val="20"/>
              </w:rPr>
              <w:t xml:space="preserve">”. </w:t>
            </w:r>
            <w:r w:rsidR="005C3900">
              <w:rPr>
                <w:rFonts w:eastAsia="Aptos"/>
                <w:sz w:val="20"/>
              </w:rPr>
              <w:t xml:space="preserve"> </w:t>
            </w:r>
            <w:r>
              <w:rPr>
                <w:rFonts w:eastAsia="Aptos"/>
                <w:sz w:val="20"/>
              </w:rPr>
              <w:t xml:space="preserve">Agencies will </w:t>
            </w:r>
            <w:r w:rsidR="00660114">
              <w:rPr>
                <w:rFonts w:eastAsia="Aptos"/>
                <w:sz w:val="20"/>
              </w:rPr>
              <w:t xml:space="preserve">notice </w:t>
            </w:r>
            <w:r>
              <w:rPr>
                <w:rFonts w:eastAsia="Aptos"/>
                <w:sz w:val="20"/>
              </w:rPr>
              <w:t>this new description</w:t>
            </w:r>
            <w:r w:rsidR="00660114">
              <w:rPr>
                <w:rFonts w:eastAsia="Aptos"/>
                <w:sz w:val="20"/>
              </w:rPr>
              <w:t xml:space="preserve"> in the following areas</w:t>
            </w:r>
            <w:r>
              <w:rPr>
                <w:rFonts w:eastAsia="Aptos"/>
                <w:sz w:val="20"/>
              </w:rPr>
              <w:t>:</w:t>
            </w:r>
          </w:p>
          <w:p w14:paraId="3396D2AD" w14:textId="370F75AD" w:rsidR="00AC799B" w:rsidRPr="00F6600A" w:rsidRDefault="00AC799B" w:rsidP="00AC799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sidRPr="00F6600A">
              <w:rPr>
                <w:rFonts w:eastAsia="Aptos"/>
                <w:sz w:val="20"/>
              </w:rPr>
              <w:t xml:space="preserve">On </w:t>
            </w:r>
            <w:r w:rsidR="00660114">
              <w:rPr>
                <w:rFonts w:eastAsia="Aptos"/>
                <w:sz w:val="20"/>
              </w:rPr>
              <w:t xml:space="preserve">the </w:t>
            </w:r>
            <w:r w:rsidRPr="00F6600A">
              <w:rPr>
                <w:rFonts w:eastAsia="Aptos"/>
                <w:sz w:val="20"/>
              </w:rPr>
              <w:t>Current Benefits Summary page</w:t>
            </w:r>
            <w:r w:rsidR="00660114">
              <w:rPr>
                <w:rFonts w:eastAsia="Aptos"/>
                <w:sz w:val="20"/>
              </w:rPr>
              <w:t xml:space="preserve"> for </w:t>
            </w:r>
            <w:r w:rsidR="00660114" w:rsidRPr="00F6600A">
              <w:rPr>
                <w:rFonts w:eastAsia="Aptos"/>
                <w:sz w:val="20"/>
              </w:rPr>
              <w:t>hybrid employees</w:t>
            </w:r>
            <w:r w:rsidR="00660114">
              <w:rPr>
                <w:rFonts w:eastAsia="Aptos"/>
                <w:sz w:val="20"/>
              </w:rPr>
              <w:t>.</w:t>
            </w:r>
          </w:p>
          <w:p w14:paraId="3C1CFE1B" w14:textId="67222DE9" w:rsidR="00AC799B" w:rsidRDefault="00660114" w:rsidP="00AC799B">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r>
              <w:rPr>
                <w:rFonts w:eastAsia="Aptos"/>
                <w:sz w:val="20"/>
              </w:rPr>
              <w:t>I</w:t>
            </w:r>
            <w:r w:rsidR="00AC799B" w:rsidRPr="00F6600A">
              <w:rPr>
                <w:rFonts w:eastAsia="Aptos"/>
                <w:sz w:val="20"/>
              </w:rPr>
              <w:t xml:space="preserve">n VRS Billing Exceptions and VRS Billing Summary reports run for months prior to July 2024 </w:t>
            </w:r>
          </w:p>
          <w:p w14:paraId="16E94928" w14:textId="77777777" w:rsidR="004A5613" w:rsidRDefault="004A5613" w:rsidP="004A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rFonts w:eastAsia="Aptos"/>
                <w:sz w:val="20"/>
              </w:rPr>
            </w:pPr>
          </w:p>
          <w:p w14:paraId="3F4D21AF" w14:textId="63251C87" w:rsidR="00AC799B" w:rsidRPr="00334F68" w:rsidRDefault="00660114" w:rsidP="004A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Pr>
                <w:rStyle w:val="normaltextrun"/>
                <w:color w:val="000000"/>
                <w:sz w:val="20"/>
                <w:shd w:val="clear" w:color="auto" w:fill="FFFFFF"/>
              </w:rPr>
              <w:t>Additionally</w:t>
            </w:r>
            <w:r>
              <w:rPr>
                <w:rStyle w:val="normaltextrun"/>
                <w:color w:val="000000"/>
                <w:shd w:val="clear" w:color="auto" w:fill="FFFFFF"/>
              </w:rPr>
              <w:t xml:space="preserve">, </w:t>
            </w:r>
            <w:r>
              <w:rPr>
                <w:rStyle w:val="normaltextrun"/>
                <w:color w:val="000000"/>
                <w:sz w:val="20"/>
                <w:shd w:val="clear" w:color="auto" w:fill="FFFFFF"/>
              </w:rPr>
              <w:t>t</w:t>
            </w:r>
            <w:r w:rsidR="004A5613">
              <w:rPr>
                <w:rStyle w:val="normaltextrun"/>
                <w:color w:val="000000"/>
                <w:sz w:val="20"/>
                <w:shd w:val="clear" w:color="auto" w:fill="FFFFFF"/>
              </w:rPr>
              <w:t>hrough the end of 2024, a new description, “</w:t>
            </w:r>
            <w:proofErr w:type="spellStart"/>
            <w:r w:rsidR="004A5613">
              <w:rPr>
                <w:rStyle w:val="normaltextrun"/>
                <w:color w:val="000000"/>
                <w:sz w:val="20"/>
                <w:shd w:val="clear" w:color="auto" w:fill="FFFFFF"/>
              </w:rPr>
              <w:t>HyDBBlndRt</w:t>
            </w:r>
            <w:proofErr w:type="spellEnd"/>
            <w:r w:rsidR="004A5613">
              <w:rPr>
                <w:rStyle w:val="normaltextrun"/>
                <w:color w:val="000000"/>
                <w:sz w:val="20"/>
                <w:shd w:val="clear" w:color="auto" w:fill="FFFFFF"/>
              </w:rPr>
              <w:t xml:space="preserve">”, </w:t>
            </w:r>
            <w:r w:rsidRPr="00660114">
              <w:rPr>
                <w:rStyle w:val="normaltextrun"/>
                <w:color w:val="000000"/>
                <w:sz w:val="20"/>
                <w:shd w:val="clear" w:color="auto" w:fill="FFFFFF"/>
              </w:rPr>
              <w:t>w</w:t>
            </w:r>
            <w:r w:rsidRPr="005C3900">
              <w:rPr>
                <w:rStyle w:val="normaltextrun"/>
                <w:color w:val="000000"/>
                <w:sz w:val="20"/>
                <w:shd w:val="clear" w:color="auto" w:fill="FFFFFF"/>
              </w:rPr>
              <w:t xml:space="preserve">ill appear </w:t>
            </w:r>
            <w:r w:rsidR="004A5613">
              <w:rPr>
                <w:rStyle w:val="normaltextrun"/>
                <w:color w:val="000000"/>
                <w:sz w:val="20"/>
                <w:shd w:val="clear" w:color="auto" w:fill="FFFFFF"/>
              </w:rPr>
              <w:t>on earnings notices.</w:t>
            </w:r>
            <w:r w:rsidR="004A5613">
              <w:rPr>
                <w:rStyle w:val="eop"/>
                <w:color w:val="000000"/>
                <w:sz w:val="20"/>
                <w:shd w:val="clear" w:color="auto" w:fill="FFFFFF"/>
              </w:rPr>
              <w:t> </w:t>
            </w:r>
          </w:p>
        </w:tc>
      </w:tr>
    </w:tbl>
    <w:p w14:paraId="590F2608" w14:textId="77777777" w:rsidR="00225EDF" w:rsidRPr="000E7BB1" w:rsidRDefault="00225EDF" w:rsidP="00225EDF">
      <w:pPr>
        <w:pStyle w:val="BlockLine"/>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335346" w:rsidRPr="00334F68" w14:paraId="37FFE043" w14:textId="77777777" w:rsidTr="00A56643">
        <w:tc>
          <w:tcPr>
            <w:tcW w:w="1713" w:type="dxa"/>
            <w:tcMar>
              <w:top w:w="0" w:type="dxa"/>
              <w:left w:w="108" w:type="dxa"/>
              <w:bottom w:w="0" w:type="dxa"/>
              <w:right w:w="108" w:type="dxa"/>
            </w:tcMar>
            <w:hideMark/>
          </w:tcPr>
          <w:p w14:paraId="25819C5C" w14:textId="2EAB6310" w:rsidR="00335346" w:rsidRPr="00334F68" w:rsidRDefault="00335346" w:rsidP="00A56643">
            <w:pPr>
              <w:rPr>
                <w:b/>
                <w:bCs/>
                <w:sz w:val="22"/>
                <w:szCs w:val="22"/>
              </w:rPr>
            </w:pPr>
            <w:r>
              <w:rPr>
                <w:b/>
                <w:bCs/>
                <w:sz w:val="22"/>
                <w:szCs w:val="22"/>
              </w:rPr>
              <w:t>Other FAQs</w:t>
            </w:r>
          </w:p>
        </w:tc>
        <w:tc>
          <w:tcPr>
            <w:tcW w:w="9090" w:type="dxa"/>
            <w:tcMar>
              <w:top w:w="0" w:type="dxa"/>
              <w:left w:w="108" w:type="dxa"/>
              <w:bottom w:w="0" w:type="dxa"/>
              <w:right w:w="108" w:type="dxa"/>
            </w:tcMar>
            <w:hideMark/>
          </w:tcPr>
          <w:p w14:paraId="56EF3F25" w14:textId="0425223A" w:rsidR="00335346" w:rsidRPr="0077017A" w:rsidRDefault="00335346" w:rsidP="00335346">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r w:rsidRPr="0077017A">
              <w:rPr>
                <w:sz w:val="18"/>
                <w:szCs w:val="18"/>
              </w:rPr>
              <w:t xml:space="preserve"> How soon should I start deducting for the Hybrid </w:t>
            </w:r>
            <w:r w:rsidR="00AA33F3" w:rsidRPr="0077017A">
              <w:rPr>
                <w:sz w:val="18"/>
                <w:szCs w:val="18"/>
              </w:rPr>
              <w:t xml:space="preserve">Mandatory </w:t>
            </w:r>
            <w:r w:rsidRPr="0077017A">
              <w:rPr>
                <w:sz w:val="18"/>
                <w:szCs w:val="18"/>
              </w:rPr>
              <w:t>Defined Contribution (HVRMDC) deduction?</w:t>
            </w:r>
          </w:p>
          <w:p w14:paraId="0DE836BC" w14:textId="77777777" w:rsidR="00AA33F3" w:rsidRPr="0077017A" w:rsidRDefault="00AA33F3" w:rsidP="00AA33F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p>
          <w:p w14:paraId="498D082C" w14:textId="543CE2C3" w:rsidR="00AA33F3" w:rsidRPr="0077017A" w:rsidRDefault="00335346" w:rsidP="0033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720"/>
              <w:rPr>
                <w:sz w:val="18"/>
                <w:szCs w:val="18"/>
              </w:rPr>
            </w:pPr>
            <w:r w:rsidRPr="0077017A">
              <w:rPr>
                <w:sz w:val="18"/>
                <w:szCs w:val="18"/>
              </w:rPr>
              <w:t>New hire information is sent to and from VNAV daily.  Do not begin to withhold HVRMDC until you confirm that an enrollment has been received from VNAV; otherwise, the deductions may be rejected</w:t>
            </w:r>
            <w:r w:rsidR="00AA33F3" w:rsidRPr="0077017A">
              <w:rPr>
                <w:sz w:val="18"/>
                <w:szCs w:val="18"/>
              </w:rPr>
              <w:t xml:space="preserve"> by Mission Square.</w:t>
            </w:r>
            <w:r w:rsidR="00DE5913" w:rsidRPr="0077017A">
              <w:rPr>
                <w:sz w:val="18"/>
                <w:szCs w:val="18"/>
              </w:rPr>
              <w:t xml:space="preserve">  The deduction should begin to process automatically once the deduction has been established.</w:t>
            </w:r>
            <w:r w:rsidR="00AA33F3" w:rsidRPr="0077017A">
              <w:rPr>
                <w:sz w:val="18"/>
                <w:szCs w:val="18"/>
              </w:rPr>
              <w:t xml:space="preserve">  </w:t>
            </w:r>
          </w:p>
          <w:p w14:paraId="289D7CBC" w14:textId="77777777" w:rsidR="00AA33F3" w:rsidRPr="0077017A" w:rsidRDefault="00AA33F3" w:rsidP="00AA3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p>
          <w:p w14:paraId="775854E3" w14:textId="77777777" w:rsidR="00AA33F3" w:rsidRPr="0077017A" w:rsidRDefault="00AA33F3" w:rsidP="00AA33F3">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r w:rsidRPr="0077017A">
              <w:rPr>
                <w:sz w:val="18"/>
                <w:szCs w:val="18"/>
              </w:rPr>
              <w:t>How much should I deduct for the Hybrid Mandatory Defined Contribution (HVRMDC)?</w:t>
            </w:r>
          </w:p>
          <w:p w14:paraId="08A482BD" w14:textId="77777777" w:rsidR="00AA33F3" w:rsidRPr="0077017A" w:rsidRDefault="00AA33F3" w:rsidP="00AA33F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p>
          <w:p w14:paraId="16868F04" w14:textId="3FBB2BC4" w:rsidR="00335346" w:rsidRPr="0077017A" w:rsidRDefault="00AA33F3" w:rsidP="00AA33F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r w:rsidRPr="0077017A">
              <w:rPr>
                <w:sz w:val="18"/>
                <w:szCs w:val="18"/>
              </w:rPr>
              <w:t xml:space="preserve">Once the employee has been enrolled in the Hybrid Retirement Plan, the amount of the Hybrid Mandatory Defined Contribution deduction is based on the amount of the employee’s eligible earnings beginning with their </w:t>
            </w:r>
            <w:r w:rsidR="00DE5913" w:rsidRPr="0077017A">
              <w:rPr>
                <w:sz w:val="18"/>
                <w:szCs w:val="18"/>
              </w:rPr>
              <w:t xml:space="preserve">actual </w:t>
            </w:r>
            <w:r w:rsidRPr="0077017A">
              <w:rPr>
                <w:sz w:val="18"/>
                <w:szCs w:val="18"/>
              </w:rPr>
              <w:t>hire date.  The amount should be automatically calculated by the system.</w:t>
            </w:r>
          </w:p>
          <w:p w14:paraId="326B9D8D" w14:textId="77777777" w:rsidR="00954148" w:rsidRPr="0077017A" w:rsidRDefault="00954148" w:rsidP="00AA33F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p>
          <w:p w14:paraId="64FA307A" w14:textId="59FD8710" w:rsidR="00954148" w:rsidRPr="0077017A" w:rsidRDefault="00954148" w:rsidP="0095414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r w:rsidRPr="0077017A">
              <w:rPr>
                <w:sz w:val="18"/>
                <w:szCs w:val="18"/>
              </w:rPr>
              <w:t xml:space="preserve">Are Workers Comp and </w:t>
            </w:r>
            <w:proofErr w:type="gramStart"/>
            <w:r w:rsidRPr="0077017A">
              <w:rPr>
                <w:sz w:val="18"/>
                <w:szCs w:val="18"/>
              </w:rPr>
              <w:t>Short Term</w:t>
            </w:r>
            <w:proofErr w:type="gramEnd"/>
            <w:r w:rsidRPr="0077017A">
              <w:rPr>
                <w:sz w:val="18"/>
                <w:szCs w:val="18"/>
              </w:rPr>
              <w:t xml:space="preserve"> Disability benefits included in earnings subject to Mandatory and Voluntary Hybrid Defined Contributions?</w:t>
            </w:r>
          </w:p>
          <w:p w14:paraId="560E59A1" w14:textId="77777777" w:rsidR="00954148" w:rsidRPr="0077017A" w:rsidRDefault="00954148" w:rsidP="009541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p>
          <w:p w14:paraId="41F74C81" w14:textId="0269C8F0" w:rsidR="00954148" w:rsidRPr="0077017A" w:rsidRDefault="00954148" w:rsidP="009541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r w:rsidRPr="0077017A">
              <w:rPr>
                <w:sz w:val="18"/>
                <w:szCs w:val="18"/>
              </w:rPr>
              <w:t>Workers Comp is not included in earnings eligible for defined contribution benefits; however, Short Term Disability</w:t>
            </w:r>
            <w:r w:rsidR="003F7447" w:rsidRPr="0077017A">
              <w:rPr>
                <w:sz w:val="18"/>
                <w:szCs w:val="18"/>
              </w:rPr>
              <w:t xml:space="preserve"> and LTD-Working are eligible earnings</w:t>
            </w:r>
            <w:r w:rsidRPr="0077017A">
              <w:rPr>
                <w:sz w:val="18"/>
                <w:szCs w:val="18"/>
              </w:rPr>
              <w:t>.</w:t>
            </w:r>
          </w:p>
          <w:p w14:paraId="71F77171" w14:textId="77777777" w:rsidR="00954148" w:rsidRPr="0077017A" w:rsidRDefault="00954148" w:rsidP="0095414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p>
          <w:p w14:paraId="5E6D23A3" w14:textId="0540EFB0" w:rsidR="00954148" w:rsidRPr="0077017A" w:rsidRDefault="00F61BE3" w:rsidP="00954148">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r w:rsidRPr="0077017A">
              <w:rPr>
                <w:sz w:val="18"/>
                <w:szCs w:val="18"/>
              </w:rPr>
              <w:t>What should I collect on an employee who terms mid-month?</w:t>
            </w:r>
          </w:p>
          <w:p w14:paraId="597C1746" w14:textId="77777777" w:rsidR="0077017A" w:rsidRPr="0077017A" w:rsidRDefault="0077017A" w:rsidP="0077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18"/>
                <w:szCs w:val="18"/>
              </w:rPr>
            </w:pPr>
          </w:p>
          <w:p w14:paraId="6999452E" w14:textId="6C9AD5DF" w:rsidR="00AA33F3" w:rsidRPr="00335346" w:rsidRDefault="0077017A" w:rsidP="001226F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77017A">
              <w:rPr>
                <w:sz w:val="18"/>
                <w:szCs w:val="18"/>
              </w:rPr>
              <w:t>The defined benefit (VRS addl pay) should be doubled to collect for the full month; however, the defined contribution deductions should process only on the amount of eligible earnings in the current period.</w:t>
            </w:r>
          </w:p>
        </w:tc>
      </w:tr>
    </w:tbl>
    <w:p w14:paraId="6E4B290D" w14:textId="77777777" w:rsidR="00335346" w:rsidRPr="000E7BB1" w:rsidRDefault="00335346" w:rsidP="00335346">
      <w:pPr>
        <w:pStyle w:val="BlockLine"/>
        <w:spacing w:before="120"/>
        <w:ind w:left="1699"/>
        <w:rPr>
          <w:b/>
          <w:sz w:val="16"/>
          <w:szCs w:val="16"/>
        </w:rPr>
      </w:pPr>
    </w:p>
    <w:p w14:paraId="65661B95" w14:textId="77777777" w:rsidR="00C1447C" w:rsidRDefault="00C1447C">
      <w:pPr>
        <w:rPr>
          <w:b/>
          <w:szCs w:val="24"/>
        </w:rPr>
      </w:pPr>
      <w:r>
        <w:rPr>
          <w:b/>
          <w:szCs w:val="24"/>
        </w:rPr>
        <w:br w:type="page"/>
      </w:r>
    </w:p>
    <w:p w14:paraId="18DB673D" w14:textId="5A82C255" w:rsidR="00C1447C" w:rsidRPr="00B47C1A" w:rsidRDefault="00C1447C" w:rsidP="00C1447C">
      <w:pPr>
        <w:rPr>
          <w:b/>
          <w:szCs w:val="24"/>
        </w:rPr>
      </w:pPr>
      <w:r>
        <w:rPr>
          <w:b/>
          <w:szCs w:val="24"/>
        </w:rPr>
        <w:lastRenderedPageBreak/>
        <w:t>Base Pay/RGS Comparison Report</w:t>
      </w:r>
    </w:p>
    <w:p w14:paraId="34144DA7" w14:textId="77777777" w:rsidR="00C1447C" w:rsidRPr="000E7BB1" w:rsidRDefault="00C1447C" w:rsidP="00C1447C">
      <w:pPr>
        <w:pStyle w:val="BlockLine"/>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C1447C" w:rsidRPr="00334F68" w14:paraId="006F7B2C" w14:textId="77777777" w:rsidTr="00C1447C">
        <w:tc>
          <w:tcPr>
            <w:tcW w:w="1713" w:type="dxa"/>
            <w:tcMar>
              <w:top w:w="0" w:type="dxa"/>
              <w:left w:w="108" w:type="dxa"/>
              <w:bottom w:w="0" w:type="dxa"/>
              <w:right w:w="108" w:type="dxa"/>
            </w:tcMar>
          </w:tcPr>
          <w:p w14:paraId="7562EB49" w14:textId="71104367" w:rsidR="00C1447C" w:rsidRPr="00334F68" w:rsidRDefault="00C1447C" w:rsidP="00A56643">
            <w:pPr>
              <w:rPr>
                <w:b/>
                <w:bCs/>
                <w:sz w:val="22"/>
                <w:szCs w:val="22"/>
              </w:rPr>
            </w:pPr>
            <w:r>
              <w:rPr>
                <w:b/>
                <w:bCs/>
                <w:sz w:val="22"/>
                <w:szCs w:val="22"/>
              </w:rPr>
              <w:t>Purpose</w:t>
            </w:r>
          </w:p>
        </w:tc>
        <w:tc>
          <w:tcPr>
            <w:tcW w:w="9090" w:type="dxa"/>
            <w:tcMar>
              <w:top w:w="0" w:type="dxa"/>
              <w:left w:w="108" w:type="dxa"/>
              <w:bottom w:w="0" w:type="dxa"/>
              <w:right w:w="108" w:type="dxa"/>
            </w:tcMar>
          </w:tcPr>
          <w:p w14:paraId="700A7764" w14:textId="77777777" w:rsidR="00C1447C" w:rsidRPr="00C1447C" w:rsidRDefault="00C1447C" w:rsidP="00C1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C1447C">
              <w:rPr>
                <w:sz w:val="20"/>
              </w:rPr>
              <w:t xml:space="preserve">This report compares: </w:t>
            </w:r>
          </w:p>
          <w:p w14:paraId="5C933A3A" w14:textId="77777777" w:rsidR="00C1447C" w:rsidRPr="00C1447C" w:rsidRDefault="00C1447C" w:rsidP="00C1447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C1447C">
              <w:rPr>
                <w:sz w:val="20"/>
              </w:rPr>
              <w:t xml:space="preserve">The salaried base pay (RGS) in HR from the last confirmed payroll to the current payroll and </w:t>
            </w:r>
          </w:p>
          <w:p w14:paraId="172DA980" w14:textId="77777777" w:rsidR="00C1447C" w:rsidRDefault="00C1447C" w:rsidP="00C1447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C1447C">
              <w:rPr>
                <w:sz w:val="20"/>
              </w:rPr>
              <w:t>The salaried base pay (RGS) between HR and Payroll.</w:t>
            </w:r>
          </w:p>
          <w:p w14:paraId="19E753B3" w14:textId="77777777" w:rsidR="00C1447C" w:rsidRPr="00C1447C" w:rsidRDefault="00C1447C" w:rsidP="00C1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720"/>
              <w:rPr>
                <w:sz w:val="20"/>
              </w:rPr>
            </w:pPr>
          </w:p>
          <w:p w14:paraId="4DCC5297" w14:textId="073A48A2" w:rsidR="00C1447C" w:rsidRDefault="00C1447C" w:rsidP="00C1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C1447C">
              <w:rPr>
                <w:sz w:val="20"/>
              </w:rPr>
              <w:t xml:space="preserve">There are two sections to this report.  The Summary section </w:t>
            </w:r>
            <w:r w:rsidR="00A72CFD">
              <w:rPr>
                <w:sz w:val="20"/>
              </w:rPr>
              <w:t xml:space="preserve">(see below) </w:t>
            </w:r>
            <w:r w:rsidRPr="00C1447C">
              <w:rPr>
                <w:sz w:val="20"/>
              </w:rPr>
              <w:t>shows the comparison totals for HR Data and Payroll Data.  The Detailed section lists all employees that determined each of these totals.</w:t>
            </w:r>
          </w:p>
          <w:p w14:paraId="54797F7D" w14:textId="77777777" w:rsidR="00C1447C" w:rsidRDefault="00C1447C" w:rsidP="00C1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p>
          <w:p w14:paraId="04D87E3C" w14:textId="78542B2E" w:rsidR="00C1447C" w:rsidRPr="00335346" w:rsidRDefault="00C1447C" w:rsidP="00C14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Pr>
                <w:noProof/>
              </w:rPr>
              <w:drawing>
                <wp:inline distT="0" distB="0" distL="0" distR="0" wp14:anchorId="4F7ED8F4" wp14:editId="7A610D9D">
                  <wp:extent cx="3930650" cy="3340100"/>
                  <wp:effectExtent l="0" t="0" r="0" b="0"/>
                  <wp:docPr id="39699460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94609" name="Picture 1" descr="A screenshot of a computer screen&#10;&#10;Description automatically generated"/>
                          <pic:cNvPicPr>
                            <a:picLocks noChangeAspect="1"/>
                          </pic:cNvPicPr>
                        </pic:nvPicPr>
                        <pic:blipFill>
                          <a:blip r:embed="rId8"/>
                          <a:stretch>
                            <a:fillRect/>
                          </a:stretch>
                        </pic:blipFill>
                        <pic:spPr>
                          <a:xfrm>
                            <a:off x="0" y="0"/>
                            <a:ext cx="3930650" cy="3340100"/>
                          </a:xfrm>
                          <a:prstGeom prst="rect">
                            <a:avLst/>
                          </a:prstGeom>
                        </pic:spPr>
                      </pic:pic>
                    </a:graphicData>
                  </a:graphic>
                </wp:inline>
              </w:drawing>
            </w:r>
          </w:p>
        </w:tc>
      </w:tr>
    </w:tbl>
    <w:p w14:paraId="4FD50360" w14:textId="77777777" w:rsidR="00C1447C" w:rsidRPr="000E7BB1" w:rsidRDefault="00C1447C" w:rsidP="00C1447C">
      <w:pPr>
        <w:pStyle w:val="BlockLine"/>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1D4A26" w:rsidRPr="00334F68" w14:paraId="759E6A6C" w14:textId="77777777" w:rsidTr="00A56643">
        <w:tc>
          <w:tcPr>
            <w:tcW w:w="1713" w:type="dxa"/>
            <w:tcMar>
              <w:top w:w="0" w:type="dxa"/>
              <w:left w:w="108" w:type="dxa"/>
              <w:bottom w:w="0" w:type="dxa"/>
              <w:right w:w="108" w:type="dxa"/>
            </w:tcMar>
            <w:hideMark/>
          </w:tcPr>
          <w:p w14:paraId="1A3C001A" w14:textId="4BDF41B0" w:rsidR="001D4A26" w:rsidRPr="00334F68" w:rsidRDefault="001D4A26" w:rsidP="00A56643">
            <w:pPr>
              <w:rPr>
                <w:b/>
                <w:bCs/>
                <w:sz w:val="22"/>
                <w:szCs w:val="22"/>
              </w:rPr>
            </w:pPr>
            <w:r>
              <w:rPr>
                <w:b/>
                <w:bCs/>
                <w:sz w:val="22"/>
                <w:szCs w:val="22"/>
              </w:rPr>
              <w:t>HR Data</w:t>
            </w:r>
          </w:p>
        </w:tc>
        <w:tc>
          <w:tcPr>
            <w:tcW w:w="9090" w:type="dxa"/>
            <w:tcMar>
              <w:top w:w="0" w:type="dxa"/>
              <w:left w:w="108" w:type="dxa"/>
              <w:bottom w:w="0" w:type="dxa"/>
              <w:right w:w="108" w:type="dxa"/>
            </w:tcMar>
            <w:hideMark/>
          </w:tcPr>
          <w:p w14:paraId="5A9EBB52" w14:textId="77777777" w:rsidR="001D4A26" w:rsidRDefault="001D4A26"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Pr>
                <w:sz w:val="20"/>
              </w:rPr>
              <w:t xml:space="preserve"> </w:t>
            </w:r>
            <w:r w:rsidRPr="001D4A26">
              <w:rPr>
                <w:b/>
                <w:bCs/>
                <w:sz w:val="20"/>
                <w:u w:val="single"/>
              </w:rPr>
              <w:t>HR Data</w:t>
            </w:r>
            <w:r w:rsidRPr="001D4A26">
              <w:rPr>
                <w:sz w:val="20"/>
              </w:rPr>
              <w:t xml:space="preserve"> - This portion of the report looks at the employee compensation rate from the job data record.  It compares the data from the job data record as of the last confirmed payroll to the current payroll.</w:t>
            </w:r>
          </w:p>
          <w:p w14:paraId="2C3FB640" w14:textId="77777777" w:rsidR="001D4A26" w:rsidRPr="001D4A26" w:rsidRDefault="001D4A26"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p>
          <w:p w14:paraId="22251B03" w14:textId="77777777" w:rsidR="001D4A26" w:rsidRDefault="001D4A26" w:rsidP="001D4A26">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bookmarkStart w:id="1" w:name="OLE_LINK1"/>
            <w:r w:rsidRPr="001D4A26">
              <w:rPr>
                <w:b/>
                <w:bCs/>
                <w:sz w:val="20"/>
              </w:rPr>
              <w:t>Total Salaried Base Pay Previous Period</w:t>
            </w:r>
            <w:r w:rsidRPr="001D4A26">
              <w:rPr>
                <w:sz w:val="20"/>
              </w:rPr>
              <w:t xml:space="preserve"> – totals the base compensation from the employee’s job data records as of the pay end date of the last confirmed payroll</w:t>
            </w:r>
            <w:bookmarkEnd w:id="1"/>
          </w:p>
          <w:p w14:paraId="3D9061F9" w14:textId="77777777" w:rsidR="001D4A26" w:rsidRDefault="001D4A26" w:rsidP="005B75E6">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b/>
                <w:bCs/>
                <w:sz w:val="20"/>
              </w:rPr>
              <w:t>Add New Employees</w:t>
            </w:r>
            <w:r w:rsidRPr="001D4A26">
              <w:rPr>
                <w:sz w:val="20"/>
              </w:rPr>
              <w:t xml:space="preserve"> – totals pay for </w:t>
            </w:r>
            <w:proofErr w:type="gramStart"/>
            <w:r w:rsidRPr="001D4A26">
              <w:rPr>
                <w:sz w:val="20"/>
              </w:rPr>
              <w:t>employees  hired</w:t>
            </w:r>
            <w:proofErr w:type="gramEnd"/>
            <w:r w:rsidRPr="001D4A26">
              <w:rPr>
                <w:sz w:val="20"/>
              </w:rPr>
              <w:t xml:space="preserve"> or rehired as of the current pay period.  This includes employees hired with an effective date in the prior period after that payroll was confirmed</w:t>
            </w:r>
          </w:p>
          <w:p w14:paraId="53319D14" w14:textId="77777777" w:rsidR="001D4A26" w:rsidRDefault="001D4A26" w:rsidP="00C44A9A">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b/>
                <w:bCs/>
                <w:sz w:val="20"/>
              </w:rPr>
              <w:t>Minus Termed Employees</w:t>
            </w:r>
            <w:r w:rsidRPr="001D4A26">
              <w:rPr>
                <w:sz w:val="20"/>
              </w:rPr>
              <w:t xml:space="preserve"> – totals pay for employees that have been </w:t>
            </w:r>
            <w:proofErr w:type="gramStart"/>
            <w:r w:rsidRPr="001D4A26">
              <w:rPr>
                <w:sz w:val="20"/>
              </w:rPr>
              <w:t>terminated  as</w:t>
            </w:r>
            <w:proofErr w:type="gramEnd"/>
            <w:r w:rsidRPr="001D4A26">
              <w:rPr>
                <w:sz w:val="20"/>
              </w:rPr>
              <w:t xml:space="preserve"> of the current pay period. This includes employees terminated with an effective date in the prior period after that payroll was confirmed</w:t>
            </w:r>
          </w:p>
          <w:p w14:paraId="4A8C67A4" w14:textId="77777777" w:rsidR="001D4A26" w:rsidRDefault="001D4A26" w:rsidP="00EF4D52">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b/>
                <w:bCs/>
                <w:sz w:val="20"/>
              </w:rPr>
              <w:t>Add Salary Changes</w:t>
            </w:r>
            <w:r w:rsidRPr="001D4A26">
              <w:rPr>
                <w:sz w:val="20"/>
              </w:rPr>
              <w:t xml:space="preserve"> – totals pay for employees that had pay rate changes since the prior pay period pay end date. This includes salary changes entered with an effective date in the prior period after the payroll was confirmed</w:t>
            </w:r>
          </w:p>
          <w:p w14:paraId="367EFB6E" w14:textId="77777777" w:rsidR="001D4A26" w:rsidRDefault="001D4A26" w:rsidP="00CC047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b/>
                <w:bCs/>
                <w:sz w:val="20"/>
              </w:rPr>
              <w:t>Calculated Base Pay Earnings</w:t>
            </w:r>
            <w:r w:rsidRPr="001D4A26">
              <w:rPr>
                <w:sz w:val="20"/>
              </w:rPr>
              <w:t xml:space="preserve"> – Prior period total + Hires – Terms + Salary Changes</w:t>
            </w:r>
          </w:p>
          <w:p w14:paraId="0F7B1EAE" w14:textId="4080877F" w:rsidR="001D4A26" w:rsidRDefault="001D4A26" w:rsidP="00CC047C">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b/>
                <w:bCs/>
                <w:sz w:val="20"/>
              </w:rPr>
              <w:t>Actual Salaried Base Pay Current Period</w:t>
            </w:r>
            <w:r w:rsidRPr="001D4A26">
              <w:rPr>
                <w:sz w:val="20"/>
              </w:rPr>
              <w:t xml:space="preserve"> – totals the base compensation from employee job records as of the pay end date of the current payroll </w:t>
            </w:r>
          </w:p>
          <w:p w14:paraId="74A20EE4" w14:textId="77777777" w:rsidR="001D4A26" w:rsidRPr="001D4A26" w:rsidRDefault="001D4A26"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p>
          <w:p w14:paraId="11D1DE6D" w14:textId="77777777" w:rsidR="001D4A26" w:rsidRDefault="001D4A26"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sz w:val="20"/>
              </w:rPr>
              <w:t>Note:  There should be no differences found.</w:t>
            </w:r>
          </w:p>
          <w:p w14:paraId="52DED1C0" w14:textId="77777777" w:rsidR="0012263B" w:rsidRDefault="0012263B"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p>
          <w:p w14:paraId="4D8154C8" w14:textId="1245D6A1" w:rsidR="0012263B" w:rsidRPr="00335346" w:rsidRDefault="0012263B"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sz w:val="20"/>
              </w:rPr>
              <w:t>Note:  HR transactions keyed after the Data Change Freeze will be included in the HR Data portion of this report.  Certain transactions will not be pulled into payroll, therefore, will not be included in the Payroll Data portion.</w:t>
            </w:r>
          </w:p>
        </w:tc>
      </w:tr>
    </w:tbl>
    <w:p w14:paraId="5965B568" w14:textId="77777777" w:rsidR="001D4A26" w:rsidRPr="000E7BB1" w:rsidRDefault="001D4A26" w:rsidP="001D4A26">
      <w:pPr>
        <w:pStyle w:val="BlockLine"/>
        <w:spacing w:before="120"/>
        <w:ind w:left="1699"/>
        <w:rPr>
          <w:b/>
          <w:sz w:val="16"/>
          <w:szCs w:val="16"/>
        </w:rPr>
      </w:pPr>
    </w:p>
    <w:p w14:paraId="391F2791" w14:textId="61C20294" w:rsidR="001D4A26" w:rsidRPr="00B47C1A" w:rsidRDefault="001D4A26" w:rsidP="001D4A26">
      <w:pPr>
        <w:rPr>
          <w:b/>
          <w:szCs w:val="24"/>
        </w:rPr>
      </w:pPr>
      <w:r>
        <w:rPr>
          <w:b/>
          <w:szCs w:val="24"/>
        </w:rPr>
        <w:lastRenderedPageBreak/>
        <w:t xml:space="preserve">Base Pay/RGS Comparison Report, </w:t>
      </w:r>
      <w:r w:rsidRPr="003C65D8">
        <w:rPr>
          <w:bCs/>
          <w:sz w:val="22"/>
          <w:szCs w:val="22"/>
        </w:rPr>
        <w:t>cont</w:t>
      </w:r>
      <w:r w:rsidRPr="003C65D8">
        <w:rPr>
          <w:bCs/>
          <w:szCs w:val="24"/>
        </w:rPr>
        <w:t>.</w:t>
      </w:r>
    </w:p>
    <w:p w14:paraId="7B3DAA88" w14:textId="77777777" w:rsidR="001D4A26" w:rsidRPr="000E7BB1" w:rsidRDefault="001D4A26" w:rsidP="001D4A26">
      <w:pPr>
        <w:pStyle w:val="BlockLine"/>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1D4A26" w:rsidRPr="00334F68" w14:paraId="392AEC90" w14:textId="77777777" w:rsidTr="00A56643">
        <w:tc>
          <w:tcPr>
            <w:tcW w:w="1713" w:type="dxa"/>
            <w:tcMar>
              <w:top w:w="0" w:type="dxa"/>
              <w:left w:w="108" w:type="dxa"/>
              <w:bottom w:w="0" w:type="dxa"/>
              <w:right w:w="108" w:type="dxa"/>
            </w:tcMar>
            <w:hideMark/>
          </w:tcPr>
          <w:p w14:paraId="33C00365" w14:textId="464BACE0" w:rsidR="001D4A26" w:rsidRPr="00334F68" w:rsidRDefault="001D4A26" w:rsidP="00A56643">
            <w:pPr>
              <w:rPr>
                <w:b/>
                <w:bCs/>
                <w:sz w:val="22"/>
                <w:szCs w:val="22"/>
              </w:rPr>
            </w:pPr>
            <w:r>
              <w:rPr>
                <w:b/>
                <w:bCs/>
                <w:sz w:val="22"/>
                <w:szCs w:val="22"/>
              </w:rPr>
              <w:t>Payroll Data</w:t>
            </w:r>
          </w:p>
        </w:tc>
        <w:tc>
          <w:tcPr>
            <w:tcW w:w="9090" w:type="dxa"/>
            <w:tcMar>
              <w:top w:w="0" w:type="dxa"/>
              <w:left w:w="108" w:type="dxa"/>
              <w:bottom w:w="0" w:type="dxa"/>
              <w:right w:w="108" w:type="dxa"/>
            </w:tcMar>
            <w:hideMark/>
          </w:tcPr>
          <w:p w14:paraId="410188B3" w14:textId="600C2834" w:rsidR="001D4A26" w:rsidRDefault="001D4A26"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sz w:val="20"/>
              </w:rPr>
              <w:t xml:space="preserve">This portion of the report compares the employee compensation rate from their job record to the base pay on the current payroll. </w:t>
            </w:r>
          </w:p>
          <w:p w14:paraId="3FCB744F" w14:textId="77777777" w:rsidR="001D4A26" w:rsidRPr="001D4A26" w:rsidRDefault="001D4A26"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p>
          <w:p w14:paraId="72E61384" w14:textId="7B39D43C" w:rsidR="001D4A26" w:rsidRDefault="001D4A26"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sz w:val="20"/>
              </w:rPr>
              <w:t>Note:  HR transactions keyed after the Data Change Freeze will be included in the HR Data portion of this report.  Certain transactions will not be pulled into payroll, therefore, will not be included in the Payroll Data portion.</w:t>
            </w:r>
          </w:p>
          <w:p w14:paraId="5402A7D0" w14:textId="77777777" w:rsidR="001D4A26" w:rsidRPr="001D4A26" w:rsidRDefault="001D4A26" w:rsidP="001D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p>
          <w:p w14:paraId="464C9FAD" w14:textId="77777777" w:rsidR="001D4A26" w:rsidRDefault="001D4A26" w:rsidP="00247FC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b/>
                <w:bCs/>
                <w:sz w:val="20"/>
              </w:rPr>
              <w:t>Actual HR Salaried Base Pay Current Period</w:t>
            </w:r>
            <w:r w:rsidRPr="001D4A26">
              <w:rPr>
                <w:sz w:val="20"/>
              </w:rPr>
              <w:t xml:space="preserve"> – totals the base compensation from employee job data records as of the pay end date of the current </w:t>
            </w:r>
            <w:proofErr w:type="gramStart"/>
            <w:r w:rsidRPr="001D4A26">
              <w:rPr>
                <w:sz w:val="20"/>
              </w:rPr>
              <w:t>payroll  (</w:t>
            </w:r>
            <w:proofErr w:type="gramEnd"/>
            <w:r w:rsidRPr="001D4A26">
              <w:rPr>
                <w:sz w:val="20"/>
              </w:rPr>
              <w:t>pulled from the HR Data section)</w:t>
            </w:r>
          </w:p>
          <w:p w14:paraId="10916326" w14:textId="228E407C" w:rsidR="001D4A26" w:rsidRPr="001D4A26" w:rsidRDefault="001D4A26" w:rsidP="00247FC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1D4A26">
              <w:rPr>
                <w:b/>
                <w:bCs/>
                <w:sz w:val="20"/>
              </w:rPr>
              <w:t>Employees with No Paycheck</w:t>
            </w:r>
            <w:r w:rsidRPr="001D4A26">
              <w:rPr>
                <w:sz w:val="20"/>
              </w:rPr>
              <w:t xml:space="preserve"> – totals pay for employees who are active as of the pay end date but have no check.  </w:t>
            </w:r>
          </w:p>
          <w:p w14:paraId="500A5BB3" w14:textId="77777777" w:rsidR="001D4A26" w:rsidRPr="001D4A26" w:rsidRDefault="001D4A26" w:rsidP="001D4A26">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0"/>
              </w:rPr>
            </w:pPr>
            <w:r w:rsidRPr="001D4A26">
              <w:rPr>
                <w:sz w:val="20"/>
              </w:rPr>
              <w:t>Employees on an unpaid leave status are considered active but do not receive base pay</w:t>
            </w:r>
          </w:p>
          <w:p w14:paraId="37E0FD79" w14:textId="77777777" w:rsidR="001D4A26" w:rsidRDefault="001D4A26" w:rsidP="001D4A26">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0"/>
              </w:rPr>
            </w:pPr>
            <w:r w:rsidRPr="001D4A26">
              <w:rPr>
                <w:sz w:val="20"/>
              </w:rPr>
              <w:t>A check was turned off by SPO</w:t>
            </w:r>
          </w:p>
          <w:p w14:paraId="17AA041B" w14:textId="34839B13" w:rsidR="001D4A26" w:rsidRPr="001D4A26" w:rsidRDefault="001D4A26" w:rsidP="001D4A26">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0"/>
              </w:rPr>
            </w:pPr>
            <w:r w:rsidRPr="001D4A26">
              <w:rPr>
                <w:sz w:val="20"/>
              </w:rPr>
              <w:t xml:space="preserve">Pay docking removed the full amount of the base pay  </w:t>
            </w:r>
            <w:bookmarkStart w:id="2" w:name="OLE_LINK4"/>
          </w:p>
          <w:bookmarkEnd w:id="2"/>
          <w:p w14:paraId="03C71460" w14:textId="77777777" w:rsidR="001D4A26" w:rsidRPr="005717A9" w:rsidRDefault="001D4A26" w:rsidP="005717A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5717A9">
              <w:rPr>
                <w:b/>
                <w:bCs/>
                <w:sz w:val="20"/>
              </w:rPr>
              <w:t>Payroll Auto Pay turned off</w:t>
            </w:r>
            <w:r w:rsidRPr="005717A9">
              <w:rPr>
                <w:sz w:val="20"/>
              </w:rPr>
              <w:t xml:space="preserve"> – totals pay for employees that have auto pay turned off as of the pay end date. </w:t>
            </w:r>
          </w:p>
          <w:p w14:paraId="07654EAA" w14:textId="77777777" w:rsidR="001D4A26" w:rsidRPr="005717A9" w:rsidRDefault="001D4A26" w:rsidP="005717A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bookmarkStart w:id="3" w:name="OLE_LINK5"/>
            <w:r w:rsidRPr="005717A9">
              <w:rPr>
                <w:b/>
                <w:bCs/>
                <w:sz w:val="20"/>
              </w:rPr>
              <w:t>Mid Period Hires</w:t>
            </w:r>
            <w:r w:rsidRPr="005717A9">
              <w:rPr>
                <w:sz w:val="20"/>
              </w:rPr>
              <w:t xml:space="preserve"> – totals pay for employees hired during the pay period.  These employees will have a partial payment (i.e., their payroll reg pay will be less than their HR base pay)</w:t>
            </w:r>
          </w:p>
          <w:bookmarkEnd w:id="3"/>
          <w:p w14:paraId="5487948B" w14:textId="77777777" w:rsidR="001D4A26" w:rsidRPr="005717A9" w:rsidRDefault="001D4A26" w:rsidP="005717A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5717A9">
              <w:rPr>
                <w:b/>
                <w:bCs/>
                <w:sz w:val="20"/>
              </w:rPr>
              <w:t>Mid Period Terms</w:t>
            </w:r>
            <w:r w:rsidRPr="005717A9">
              <w:rPr>
                <w:sz w:val="20"/>
              </w:rPr>
              <w:t xml:space="preserve"> – totals pay for any employees termed during the pay period.  These employees will have a partial payment (i.e., their payroll reg pay will be greater than their HR base pay)</w:t>
            </w:r>
          </w:p>
          <w:p w14:paraId="705A6898" w14:textId="77777777" w:rsidR="001D4A26" w:rsidRPr="005717A9" w:rsidRDefault="001D4A26" w:rsidP="005717A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5717A9">
              <w:rPr>
                <w:b/>
                <w:bCs/>
                <w:sz w:val="20"/>
              </w:rPr>
              <w:t>Mid Period Rate Changes</w:t>
            </w:r>
            <w:r w:rsidRPr="005717A9">
              <w:rPr>
                <w:sz w:val="20"/>
              </w:rPr>
              <w:t xml:space="preserve"> – totals pay for any employees with a pay rate change effective during the pay period.  These employees will have a partial payment (i.e., their payroll reg pay will be different from their HR base pay).  This category includes active employees whose HR base pay differs from the amount of base pay on the paycheck for other reasons.  In many cases the employee received a zero net check, but unlike the first category, these employees did receive a check.</w:t>
            </w:r>
          </w:p>
          <w:p w14:paraId="576B6FBA" w14:textId="77777777" w:rsidR="001D4A26" w:rsidRPr="005717A9" w:rsidRDefault="001D4A26" w:rsidP="005717A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bookmarkStart w:id="4" w:name="OLE_LINK6"/>
            <w:r w:rsidRPr="005717A9">
              <w:rPr>
                <w:b/>
                <w:bCs/>
                <w:sz w:val="20"/>
              </w:rPr>
              <w:t>Calculated Base Pay Earnings for Payroll</w:t>
            </w:r>
            <w:r w:rsidRPr="005717A9">
              <w:rPr>
                <w:sz w:val="20"/>
              </w:rPr>
              <w:t xml:space="preserve"> – Sum of the categories above to reflect the expected base pay that is included in the payroll.</w:t>
            </w:r>
          </w:p>
          <w:p w14:paraId="4FAA0A9C" w14:textId="77777777" w:rsidR="001D4A26" w:rsidRPr="005717A9" w:rsidRDefault="001D4A26" w:rsidP="005717A9">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5717A9">
              <w:rPr>
                <w:b/>
                <w:bCs/>
                <w:sz w:val="20"/>
              </w:rPr>
              <w:t>Actual Base Pay Earnings for Payroll</w:t>
            </w:r>
            <w:r w:rsidRPr="005717A9">
              <w:rPr>
                <w:sz w:val="20"/>
              </w:rPr>
              <w:t xml:space="preserve"> – Sum of all base pay on the checks for the current payroll  </w:t>
            </w:r>
          </w:p>
          <w:p w14:paraId="420ADFB4" w14:textId="77777777" w:rsidR="00D14ECE" w:rsidRDefault="00D14ECE" w:rsidP="00D1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360"/>
              <w:rPr>
                <w:sz w:val="20"/>
              </w:rPr>
            </w:pPr>
            <w:bookmarkStart w:id="5" w:name="OLE_LINK7"/>
            <w:bookmarkEnd w:id="4"/>
          </w:p>
          <w:p w14:paraId="3657EE97" w14:textId="77777777" w:rsidR="001D4A26" w:rsidRDefault="001D4A26" w:rsidP="00D1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360"/>
              <w:rPr>
                <w:sz w:val="20"/>
              </w:rPr>
            </w:pPr>
            <w:r w:rsidRPr="00D14ECE">
              <w:rPr>
                <w:sz w:val="20"/>
              </w:rPr>
              <w:t>Note:  There should be no differences found.</w:t>
            </w:r>
            <w:bookmarkEnd w:id="5"/>
          </w:p>
          <w:p w14:paraId="5EFE5B57" w14:textId="77777777" w:rsidR="00D14ECE" w:rsidRDefault="00D14ECE" w:rsidP="00D1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360"/>
              <w:rPr>
                <w:sz w:val="20"/>
              </w:rPr>
            </w:pPr>
          </w:p>
          <w:p w14:paraId="511D9008" w14:textId="7DA1E6A9" w:rsidR="00D14ECE" w:rsidRPr="00D14ECE" w:rsidRDefault="00D14ECE" w:rsidP="00D14ECE">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D14ECE">
              <w:rPr>
                <w:b/>
                <w:bCs/>
                <w:sz w:val="20"/>
              </w:rPr>
              <w:t xml:space="preserve">Base Pay SPOT adjustments – </w:t>
            </w:r>
            <w:r w:rsidRPr="00D14ECE">
              <w:rPr>
                <w:sz w:val="20"/>
              </w:rPr>
              <w:t>Sum of all SPOT adjustments to base pay (i.e., earning code RGS)</w:t>
            </w:r>
            <w:r w:rsidR="008C70AE">
              <w:rPr>
                <w:sz w:val="20"/>
              </w:rPr>
              <w:t xml:space="preserve"> entered during the pay period</w:t>
            </w:r>
            <w:r w:rsidR="00B83114">
              <w:rPr>
                <w:sz w:val="20"/>
              </w:rPr>
              <w:t>, regardless of begin and end date on the SPOT.</w:t>
            </w:r>
          </w:p>
          <w:p w14:paraId="762B67AF" w14:textId="77777777" w:rsidR="00D14ECE" w:rsidRPr="00D14ECE" w:rsidRDefault="00D14ECE" w:rsidP="00D14ECE">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D14ECE">
              <w:rPr>
                <w:b/>
                <w:bCs/>
                <w:sz w:val="20"/>
              </w:rPr>
              <w:t xml:space="preserve">Calculated Total Base Pay (Pay Earnings + SPOT) – </w:t>
            </w:r>
            <w:r w:rsidRPr="00D14ECE">
              <w:rPr>
                <w:sz w:val="20"/>
              </w:rPr>
              <w:t>Sum of the actual Base Pay Earnings for Payroll and the SPOT adjustments to RGS.</w:t>
            </w:r>
          </w:p>
          <w:p w14:paraId="7A358A2C" w14:textId="428D20E9" w:rsidR="00D14ECE" w:rsidRDefault="00D14ECE" w:rsidP="00D14ECE">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D14ECE">
              <w:rPr>
                <w:b/>
                <w:bCs/>
                <w:sz w:val="20"/>
              </w:rPr>
              <w:t xml:space="preserve">Base Pay Total (RGA Accumulator) – </w:t>
            </w:r>
            <w:r w:rsidRPr="00D14ECE">
              <w:rPr>
                <w:sz w:val="20"/>
              </w:rPr>
              <w:t>Sum of all the base pay for the current payroll reflected in the RGA accumulator</w:t>
            </w:r>
            <w:r>
              <w:rPr>
                <w:sz w:val="20"/>
              </w:rPr>
              <w:t>.</w:t>
            </w:r>
          </w:p>
          <w:p w14:paraId="666F7EA7" w14:textId="77777777" w:rsidR="00D14ECE" w:rsidRPr="00D14ECE" w:rsidRDefault="00D14ECE" w:rsidP="00D1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p>
          <w:p w14:paraId="688B0AD1" w14:textId="095BC7E1" w:rsidR="00D14ECE" w:rsidRPr="00D14ECE" w:rsidRDefault="00D14ECE" w:rsidP="00D14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D14ECE">
              <w:rPr>
                <w:sz w:val="20"/>
              </w:rPr>
              <w:t>The Calculated Total Base Pay and the Base Pay Total can be compared to other payroll reports such as the COVA Payroll Register, COVA Payroll Summary Report or the Condensed Payroll Register.</w:t>
            </w:r>
            <w:r w:rsidR="00A72CFD">
              <w:rPr>
                <w:sz w:val="20"/>
              </w:rPr>
              <w:t xml:space="preserve">  </w:t>
            </w:r>
            <w:r w:rsidRPr="00D14ECE">
              <w:rPr>
                <w:sz w:val="20"/>
              </w:rPr>
              <w:t>Note:  There should be no differences found.</w:t>
            </w:r>
          </w:p>
        </w:tc>
      </w:tr>
    </w:tbl>
    <w:p w14:paraId="3EC214B9" w14:textId="77777777" w:rsidR="001D4A26" w:rsidRPr="000E7BB1" w:rsidRDefault="001D4A26" w:rsidP="001D4A26">
      <w:pPr>
        <w:pStyle w:val="BlockLine"/>
        <w:spacing w:before="120"/>
        <w:ind w:left="1699"/>
        <w:rPr>
          <w:b/>
          <w:sz w:val="16"/>
          <w:szCs w:val="16"/>
        </w:rPr>
      </w:pPr>
    </w:p>
    <w:p w14:paraId="531DA7ED" w14:textId="45A0B161" w:rsidR="00F540A9" w:rsidRDefault="00F540A9">
      <w:r>
        <w:br w:type="page"/>
      </w:r>
    </w:p>
    <w:p w14:paraId="40C1ACEE" w14:textId="3666B410" w:rsidR="00335346" w:rsidRDefault="00F540A9" w:rsidP="00335346">
      <w:r>
        <w:rPr>
          <w:b/>
          <w:szCs w:val="24"/>
        </w:rPr>
        <w:lastRenderedPageBreak/>
        <w:t>Coming Soon – Additional Shift Codes</w:t>
      </w:r>
    </w:p>
    <w:p w14:paraId="775E8672" w14:textId="77777777" w:rsidR="00F540A9" w:rsidRPr="000E7BB1" w:rsidRDefault="00F540A9" w:rsidP="00F540A9">
      <w:pPr>
        <w:pStyle w:val="BlockLine"/>
        <w:spacing w:before="120"/>
        <w:ind w:left="1699"/>
        <w:rPr>
          <w:b/>
          <w:sz w:val="16"/>
          <w:szCs w:val="16"/>
        </w:rPr>
      </w:pPr>
    </w:p>
    <w:tbl>
      <w:tblPr>
        <w:tblW w:w="10803" w:type="dxa"/>
        <w:tblInd w:w="-3" w:type="dxa"/>
        <w:tblCellMar>
          <w:left w:w="0" w:type="dxa"/>
          <w:right w:w="0" w:type="dxa"/>
        </w:tblCellMar>
        <w:tblLook w:val="04A0" w:firstRow="1" w:lastRow="0" w:firstColumn="1" w:lastColumn="0" w:noHBand="0" w:noVBand="1"/>
      </w:tblPr>
      <w:tblGrid>
        <w:gridCol w:w="1713"/>
        <w:gridCol w:w="9090"/>
      </w:tblGrid>
      <w:tr w:rsidR="00F540A9" w:rsidRPr="00334F68" w14:paraId="2E1F1F06" w14:textId="77777777" w:rsidTr="00F540A9">
        <w:tc>
          <w:tcPr>
            <w:tcW w:w="1713" w:type="dxa"/>
            <w:tcMar>
              <w:top w:w="0" w:type="dxa"/>
              <w:left w:w="108" w:type="dxa"/>
              <w:bottom w:w="0" w:type="dxa"/>
              <w:right w:w="108" w:type="dxa"/>
            </w:tcMar>
          </w:tcPr>
          <w:p w14:paraId="0058C0C6" w14:textId="0F5AA946" w:rsidR="00F540A9" w:rsidRPr="00334F68" w:rsidRDefault="00F540A9" w:rsidP="00CC244A">
            <w:pPr>
              <w:rPr>
                <w:b/>
                <w:bCs/>
                <w:sz w:val="22"/>
                <w:szCs w:val="22"/>
              </w:rPr>
            </w:pPr>
            <w:r>
              <w:rPr>
                <w:b/>
                <w:bCs/>
                <w:sz w:val="22"/>
                <w:szCs w:val="22"/>
              </w:rPr>
              <w:t>Shift 4 and Shift 5</w:t>
            </w:r>
          </w:p>
        </w:tc>
        <w:tc>
          <w:tcPr>
            <w:tcW w:w="9090" w:type="dxa"/>
            <w:tcMar>
              <w:top w:w="0" w:type="dxa"/>
              <w:left w:w="108" w:type="dxa"/>
              <w:bottom w:w="0" w:type="dxa"/>
              <w:right w:w="108" w:type="dxa"/>
            </w:tcMar>
          </w:tcPr>
          <w:p w14:paraId="3ED6067E" w14:textId="0F7BD893" w:rsidR="00F540A9" w:rsidRDefault="00F540A9" w:rsidP="00F5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F540A9">
              <w:rPr>
                <w:sz w:val="20"/>
              </w:rPr>
              <w:t xml:space="preserve">Cardinal Time and Attendance will </w:t>
            </w:r>
            <w:r>
              <w:rPr>
                <w:sz w:val="20"/>
              </w:rPr>
              <w:t xml:space="preserve">soon </w:t>
            </w:r>
            <w:r w:rsidRPr="00F540A9">
              <w:rPr>
                <w:sz w:val="20"/>
              </w:rPr>
              <w:t>expand shift differential options by adding Shift 4 and Shift 5 to the timesheet. These new shift differentials will be available in addition to Shift 1, Shift 2, and Shift 3 for employees enrolled in shift differential.</w:t>
            </w:r>
          </w:p>
          <w:p w14:paraId="5C61DBD1" w14:textId="77777777" w:rsidR="00F540A9" w:rsidRPr="00F540A9" w:rsidRDefault="00F540A9" w:rsidP="00F5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p>
          <w:p w14:paraId="33C3F693" w14:textId="313AB9A4" w:rsidR="00F540A9" w:rsidRDefault="00F540A9" w:rsidP="00F5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F540A9">
              <w:rPr>
                <w:sz w:val="20"/>
              </w:rPr>
              <w:t>Agencies currently using shift differentials will see the Shift 4 and Shift 5 options reflected on the employee timesheets. However, these new shift differentials will not be active until the agency implements them by submitting a ticket. If an employee selects an ineligible shift differential value, a timesheet exception will be generated by Time Administration.</w:t>
            </w:r>
          </w:p>
          <w:p w14:paraId="0EEFB068" w14:textId="77777777" w:rsidR="00F540A9" w:rsidRPr="00F540A9" w:rsidRDefault="00F540A9" w:rsidP="00F5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p>
          <w:p w14:paraId="5D5C0455" w14:textId="1C4F4E64" w:rsidR="00F540A9" w:rsidRPr="00335346" w:rsidRDefault="00F540A9" w:rsidP="00F54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rPr>
            </w:pPr>
            <w:r w:rsidRPr="00F540A9">
              <w:rPr>
                <w:sz w:val="20"/>
              </w:rPr>
              <w:t xml:space="preserve">To implement the newly added or existing shift values, </w:t>
            </w:r>
            <w:r w:rsidRPr="00F540A9">
              <w:rPr>
                <w:b/>
                <w:bCs/>
                <w:sz w:val="20"/>
              </w:rPr>
              <w:t>please submit a ticket</w:t>
            </w:r>
            <w:r w:rsidRPr="00F540A9">
              <w:rPr>
                <w:sz w:val="20"/>
              </w:rPr>
              <w:t xml:space="preserve"> to initiate the process.</w:t>
            </w:r>
          </w:p>
        </w:tc>
      </w:tr>
    </w:tbl>
    <w:p w14:paraId="7AF60377" w14:textId="77777777" w:rsidR="00F540A9" w:rsidRPr="000E7BB1" w:rsidRDefault="00F540A9" w:rsidP="00F540A9">
      <w:pPr>
        <w:pStyle w:val="BlockLine"/>
        <w:spacing w:before="120"/>
        <w:ind w:left="1699"/>
        <w:rPr>
          <w:b/>
          <w:sz w:val="16"/>
          <w:szCs w:val="16"/>
        </w:rPr>
      </w:pPr>
    </w:p>
    <w:p w14:paraId="4269C587" w14:textId="77777777" w:rsidR="00F540A9" w:rsidRPr="00335346" w:rsidRDefault="00F540A9" w:rsidP="00335346"/>
    <w:p w14:paraId="06EA5CC1" w14:textId="77777777" w:rsidR="00AC799B" w:rsidRDefault="00AC799B" w:rsidP="00AC799B"/>
    <w:p w14:paraId="500AC782" w14:textId="77777777" w:rsidR="00AC799B" w:rsidRDefault="00AC799B" w:rsidP="00AC799B">
      <w:pPr>
        <w:rPr>
          <w:b/>
          <w:szCs w:val="24"/>
        </w:rPr>
      </w:pPr>
    </w:p>
    <w:p w14:paraId="5CD660D5" w14:textId="77777777" w:rsidR="00E70997" w:rsidRDefault="00E70997" w:rsidP="00E70997">
      <w:pPr>
        <w:rPr>
          <w:b/>
          <w:szCs w:val="24"/>
        </w:rPr>
      </w:pPr>
    </w:p>
    <w:p w14:paraId="6877AAA2" w14:textId="77777777" w:rsidR="00E70997" w:rsidRDefault="00E70997" w:rsidP="00E70997">
      <w:pPr>
        <w:rPr>
          <w:b/>
          <w:szCs w:val="24"/>
        </w:rPr>
      </w:pPr>
    </w:p>
    <w:sectPr w:rsidR="00E70997" w:rsidSect="00D116F1">
      <w:headerReference w:type="even" r:id="rId9"/>
      <w:headerReference w:type="default" r:id="rId10"/>
      <w:footerReference w:type="even" r:id="rId11"/>
      <w:footerReference w:type="default" r:id="rId12"/>
      <w:pgSz w:w="12240" w:h="15840" w:code="1"/>
      <w:pgMar w:top="360" w:right="720" w:bottom="90" w:left="720" w:header="288" w:footer="16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A27E6" w14:textId="77777777" w:rsidR="0076424B" w:rsidRDefault="0076424B" w:rsidP="007C617C">
      <w:pPr>
        <w:pStyle w:val="TableText"/>
      </w:pPr>
      <w:r>
        <w:separator/>
      </w:r>
    </w:p>
  </w:endnote>
  <w:endnote w:type="continuationSeparator" w:id="0">
    <w:p w14:paraId="6C7A65EC" w14:textId="77777777" w:rsidR="0076424B" w:rsidRDefault="0076424B" w:rsidP="007C617C">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E4BD" w14:textId="77777777" w:rsidR="001F28B6" w:rsidRDefault="001F28B6">
    <w:pPr>
      <w:pStyle w:val="Footer"/>
      <w:framePr w:wrap="around" w:vAnchor="text" w:hAnchor="margin" w:xAlign="outside" w:y="1"/>
    </w:pPr>
    <w:r>
      <w:fldChar w:fldCharType="begin"/>
    </w:r>
    <w:r>
      <w:instrText xml:space="preserve">PAGE  </w:instrText>
    </w:r>
    <w:r>
      <w:fldChar w:fldCharType="end"/>
    </w:r>
  </w:p>
  <w:p w14:paraId="0B22F138" w14:textId="77777777" w:rsidR="001F28B6" w:rsidRDefault="001F28B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20FAD" w14:textId="77777777" w:rsidR="001F28B6" w:rsidRPr="00D116F1" w:rsidRDefault="001F28B6" w:rsidP="00D116F1">
    <w:pPr>
      <w:pBdr>
        <w:top w:val="single" w:sz="6" w:space="0" w:color="auto"/>
      </w:pBdr>
      <w:tabs>
        <w:tab w:val="left" w:pos="5940"/>
      </w:tabs>
      <w:ind w:right="-414"/>
      <w:jc w:val="center"/>
      <w:rPr>
        <w:rFonts w:ascii="Verdana" w:hAnsi="Verdana"/>
        <w:i/>
        <w:snapToGrid w:val="0"/>
        <w:sz w:val="20"/>
      </w:rPr>
    </w:pPr>
    <w:r>
      <w:rPr>
        <w:snapToGrid w:val="0"/>
        <w:sz w:val="20"/>
      </w:rPr>
      <w:t xml:space="preserve">Page </w:t>
    </w:r>
    <w:r>
      <w:rPr>
        <w:snapToGrid w:val="0"/>
        <w:sz w:val="20"/>
      </w:rPr>
      <w:fldChar w:fldCharType="begin"/>
    </w:r>
    <w:r>
      <w:rPr>
        <w:snapToGrid w:val="0"/>
        <w:sz w:val="20"/>
      </w:rPr>
      <w:instrText xml:space="preserve"> PAGE  \* Arabic  \* MERGEFORMAT </w:instrText>
    </w:r>
    <w:r>
      <w:rPr>
        <w:snapToGrid w:val="0"/>
        <w:sz w:val="20"/>
      </w:rPr>
      <w:fldChar w:fldCharType="separate"/>
    </w:r>
    <w:r w:rsidR="006C47F5">
      <w:rPr>
        <w:noProof/>
        <w:snapToGrid w:val="0"/>
        <w:sz w:val="20"/>
      </w:rPr>
      <w:t>8</w:t>
    </w:r>
    <w:r>
      <w:rPr>
        <w:snapToGrid w:val="0"/>
        <w:sz w:val="20"/>
      </w:rPr>
      <w:fldChar w:fldCharType="end"/>
    </w:r>
  </w:p>
  <w:p w14:paraId="2EF054BD" w14:textId="77777777" w:rsidR="001F28B6" w:rsidRPr="0014790A" w:rsidRDefault="00481FC0" w:rsidP="005D21AF">
    <w:pPr>
      <w:pStyle w:val="NormalWeb"/>
      <w:jc w:val="center"/>
      <w:rPr>
        <w:i/>
        <w:snapToGrid w:val="0"/>
        <w:sz w:val="20"/>
        <w:szCs w:val="20"/>
      </w:rPr>
    </w:pPr>
    <w:hyperlink r:id="rId1" w:tooltip="http://www.doa.virginia.gov/Payroll/Payroll_Bulletins/Payroll_Bulletins_Main.cfm" w:history="1">
      <w:r w:rsidR="001F28B6" w:rsidRPr="0014790A">
        <w:rPr>
          <w:rStyle w:val="Hyperlink"/>
          <w:i/>
          <w:iCs/>
          <w:snapToGrid w:val="0"/>
          <w:color w:val="auto"/>
          <w:sz w:val="20"/>
          <w:szCs w:val="20"/>
        </w:rPr>
        <w:t>http://www.doa.virginia.gov/Payroll/Payroll_Bulletins/Payroll_Bulletins_Main.cfm</w:t>
      </w:r>
    </w:hyperlink>
  </w:p>
  <w:p w14:paraId="54EF97EC" w14:textId="77777777" w:rsidR="001F28B6" w:rsidRDefault="001F2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8A147" w14:textId="77777777" w:rsidR="0076424B" w:rsidRDefault="0076424B" w:rsidP="007C617C">
      <w:pPr>
        <w:pStyle w:val="TableText"/>
      </w:pPr>
      <w:r>
        <w:separator/>
      </w:r>
    </w:p>
  </w:footnote>
  <w:footnote w:type="continuationSeparator" w:id="0">
    <w:p w14:paraId="5849B190" w14:textId="77777777" w:rsidR="0076424B" w:rsidRDefault="0076424B" w:rsidP="007C617C">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C6F5C" w14:textId="77777777" w:rsidR="001F28B6" w:rsidRDefault="001F28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8D405" w14:textId="77777777" w:rsidR="001F28B6" w:rsidRDefault="001F2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5672" w14:textId="77777777" w:rsidR="001F28B6" w:rsidRDefault="001F28B6">
    <w:pPr>
      <w:pStyle w:val="Header"/>
    </w:pPr>
  </w:p>
  <w:tbl>
    <w:tblPr>
      <w:tblW w:w="10800" w:type="dxa"/>
      <w:tblLayout w:type="fixed"/>
      <w:tblLook w:val="0000" w:firstRow="0" w:lastRow="0" w:firstColumn="0" w:lastColumn="0" w:noHBand="0" w:noVBand="0"/>
    </w:tblPr>
    <w:tblGrid>
      <w:gridCol w:w="3366"/>
      <w:gridCol w:w="3366"/>
      <w:gridCol w:w="4068"/>
    </w:tblGrid>
    <w:tr w:rsidR="001F28B6" w14:paraId="73733DF1" w14:textId="77777777" w:rsidTr="008411C2">
      <w:trPr>
        <w:cantSplit/>
      </w:trPr>
      <w:tc>
        <w:tcPr>
          <w:tcW w:w="3366" w:type="dxa"/>
          <w:tcBorders>
            <w:bottom w:val="double" w:sz="6" w:space="0" w:color="auto"/>
          </w:tcBorders>
        </w:tcPr>
        <w:p w14:paraId="711C363E" w14:textId="3BEF82FE" w:rsidR="001F28B6" w:rsidRDefault="001F28B6" w:rsidP="006C2E6C">
          <w:pPr>
            <w:pStyle w:val="Header"/>
            <w:rPr>
              <w:b/>
              <w:sz w:val="20"/>
            </w:rPr>
          </w:pPr>
          <w:r>
            <w:rPr>
              <w:b/>
              <w:sz w:val="20"/>
            </w:rPr>
            <w:t xml:space="preserve">Calendar Year </w:t>
          </w:r>
          <w:r w:rsidR="003F1980">
            <w:rPr>
              <w:b/>
              <w:sz w:val="20"/>
            </w:rPr>
            <w:t>202</w:t>
          </w:r>
          <w:r w:rsidR="00B46AEB">
            <w:rPr>
              <w:b/>
              <w:sz w:val="20"/>
            </w:rPr>
            <w:t>4</w:t>
          </w:r>
        </w:p>
      </w:tc>
      <w:tc>
        <w:tcPr>
          <w:tcW w:w="3366" w:type="dxa"/>
          <w:tcBorders>
            <w:bottom w:val="double" w:sz="6" w:space="0" w:color="auto"/>
          </w:tcBorders>
        </w:tcPr>
        <w:p w14:paraId="6259D8C4" w14:textId="569B0445" w:rsidR="001F28B6" w:rsidRDefault="00EF0D25" w:rsidP="00BF7A44">
          <w:pPr>
            <w:pStyle w:val="Header"/>
            <w:jc w:val="center"/>
            <w:rPr>
              <w:b/>
              <w:sz w:val="20"/>
            </w:rPr>
          </w:pPr>
          <w:r>
            <w:rPr>
              <w:b/>
              <w:sz w:val="20"/>
            </w:rPr>
            <w:t>August 2</w:t>
          </w:r>
          <w:r w:rsidR="00983E51">
            <w:rPr>
              <w:b/>
              <w:sz w:val="20"/>
            </w:rPr>
            <w:t>2</w:t>
          </w:r>
          <w:r>
            <w:rPr>
              <w:b/>
              <w:sz w:val="20"/>
            </w:rPr>
            <w:t>, 2024</w:t>
          </w:r>
        </w:p>
      </w:tc>
      <w:tc>
        <w:tcPr>
          <w:tcW w:w="4068" w:type="dxa"/>
          <w:tcBorders>
            <w:bottom w:val="double" w:sz="6" w:space="0" w:color="auto"/>
          </w:tcBorders>
        </w:tcPr>
        <w:p w14:paraId="2BDDB4F1" w14:textId="73184779" w:rsidR="001F28B6" w:rsidRDefault="001F28B6" w:rsidP="00383489">
          <w:pPr>
            <w:pStyle w:val="Header"/>
            <w:jc w:val="right"/>
            <w:rPr>
              <w:b/>
              <w:sz w:val="20"/>
            </w:rPr>
          </w:pPr>
          <w:r>
            <w:rPr>
              <w:b/>
              <w:sz w:val="20"/>
            </w:rPr>
            <w:t>Volume #</w:t>
          </w:r>
          <w:r w:rsidR="003F1980">
            <w:rPr>
              <w:b/>
              <w:sz w:val="20"/>
            </w:rPr>
            <w:t>202</w:t>
          </w:r>
          <w:r w:rsidR="00B46AEB">
            <w:rPr>
              <w:b/>
              <w:sz w:val="20"/>
            </w:rPr>
            <w:t>4</w:t>
          </w:r>
          <w:r>
            <w:rPr>
              <w:b/>
              <w:sz w:val="20"/>
            </w:rPr>
            <w:t>-</w:t>
          </w:r>
          <w:r w:rsidR="00EF0D25">
            <w:rPr>
              <w:b/>
              <w:sz w:val="20"/>
            </w:rPr>
            <w:t>10</w:t>
          </w:r>
        </w:p>
      </w:tc>
    </w:tr>
  </w:tbl>
  <w:p w14:paraId="271C2FD4" w14:textId="77777777" w:rsidR="001F28B6" w:rsidRDefault="001F2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68E"/>
    <w:multiLevelType w:val="hybridMultilevel"/>
    <w:tmpl w:val="5C5C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6563"/>
    <w:multiLevelType w:val="hybridMultilevel"/>
    <w:tmpl w:val="91722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31E43"/>
    <w:multiLevelType w:val="hybridMultilevel"/>
    <w:tmpl w:val="2E46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F1F44"/>
    <w:multiLevelType w:val="hybridMultilevel"/>
    <w:tmpl w:val="53A41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17D83"/>
    <w:multiLevelType w:val="hybridMultilevel"/>
    <w:tmpl w:val="9876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66AF8"/>
    <w:multiLevelType w:val="hybridMultilevel"/>
    <w:tmpl w:val="FFC0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31330"/>
    <w:multiLevelType w:val="hybridMultilevel"/>
    <w:tmpl w:val="B108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A2EDD"/>
    <w:multiLevelType w:val="hybridMultilevel"/>
    <w:tmpl w:val="C6EA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0145B"/>
    <w:multiLevelType w:val="hybridMultilevel"/>
    <w:tmpl w:val="1BB0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E73A9"/>
    <w:multiLevelType w:val="hybridMultilevel"/>
    <w:tmpl w:val="B76E67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56ACE"/>
    <w:multiLevelType w:val="hybridMultilevel"/>
    <w:tmpl w:val="40903C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326D72"/>
    <w:multiLevelType w:val="hybridMultilevel"/>
    <w:tmpl w:val="EEC8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F2CCC"/>
    <w:multiLevelType w:val="hybridMultilevel"/>
    <w:tmpl w:val="A11E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41950"/>
    <w:multiLevelType w:val="hybridMultilevel"/>
    <w:tmpl w:val="6D084EAE"/>
    <w:lvl w:ilvl="0" w:tplc="236C5492">
      <w:start w:val="1"/>
      <w:numFmt w:val="bullet"/>
      <w:lvlText w:val=""/>
      <w:lvlJc w:val="left"/>
      <w:pPr>
        <w:ind w:left="1440" w:hanging="108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469AC"/>
    <w:multiLevelType w:val="hybridMultilevel"/>
    <w:tmpl w:val="7876B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82ECE"/>
    <w:multiLevelType w:val="hybridMultilevel"/>
    <w:tmpl w:val="6B62F8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4322CE"/>
    <w:multiLevelType w:val="hybridMultilevel"/>
    <w:tmpl w:val="EE92D78A"/>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60F867CD"/>
    <w:multiLevelType w:val="hybridMultilevel"/>
    <w:tmpl w:val="D1FA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B7CF9"/>
    <w:multiLevelType w:val="hybridMultilevel"/>
    <w:tmpl w:val="61406D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E81389"/>
    <w:multiLevelType w:val="hybridMultilevel"/>
    <w:tmpl w:val="4E06B140"/>
    <w:lvl w:ilvl="0" w:tplc="92880722">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2671866">
    <w:abstractNumId w:val="16"/>
  </w:num>
  <w:num w:numId="2" w16cid:durableId="1844928692">
    <w:abstractNumId w:val="19"/>
  </w:num>
  <w:num w:numId="3" w16cid:durableId="1355571706">
    <w:abstractNumId w:val="5"/>
  </w:num>
  <w:num w:numId="4" w16cid:durableId="2029136315">
    <w:abstractNumId w:val="2"/>
  </w:num>
  <w:num w:numId="5" w16cid:durableId="875430157">
    <w:abstractNumId w:val="1"/>
  </w:num>
  <w:num w:numId="6" w16cid:durableId="252009002">
    <w:abstractNumId w:val="14"/>
  </w:num>
  <w:num w:numId="7" w16cid:durableId="305817450">
    <w:abstractNumId w:val="3"/>
  </w:num>
  <w:num w:numId="8" w16cid:durableId="943804764">
    <w:abstractNumId w:val="0"/>
  </w:num>
  <w:num w:numId="9" w16cid:durableId="1735662597">
    <w:abstractNumId w:val="6"/>
  </w:num>
  <w:num w:numId="10" w16cid:durableId="1210530897">
    <w:abstractNumId w:val="7"/>
  </w:num>
  <w:num w:numId="11" w16cid:durableId="866794962">
    <w:abstractNumId w:val="18"/>
  </w:num>
  <w:num w:numId="12" w16cid:durableId="1533567520">
    <w:abstractNumId w:val="11"/>
  </w:num>
  <w:num w:numId="13" w16cid:durableId="1676762077">
    <w:abstractNumId w:val="15"/>
  </w:num>
  <w:num w:numId="14" w16cid:durableId="1974216503">
    <w:abstractNumId w:val="8"/>
  </w:num>
  <w:num w:numId="15" w16cid:durableId="1032417369">
    <w:abstractNumId w:val="13"/>
  </w:num>
  <w:num w:numId="16" w16cid:durableId="1852261781">
    <w:abstractNumId w:val="4"/>
  </w:num>
  <w:num w:numId="17" w16cid:durableId="862747850">
    <w:abstractNumId w:val="9"/>
  </w:num>
  <w:num w:numId="18" w16cid:durableId="272711361">
    <w:abstractNumId w:val="10"/>
  </w:num>
  <w:num w:numId="19" w16cid:durableId="399863307">
    <w:abstractNumId w:val="17"/>
  </w:num>
  <w:num w:numId="20" w16cid:durableId="138722369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54"/>
    <w:rsid w:val="00001CE4"/>
    <w:rsid w:val="00003B77"/>
    <w:rsid w:val="00004752"/>
    <w:rsid w:val="00004CD3"/>
    <w:rsid w:val="00004DB9"/>
    <w:rsid w:val="0000504A"/>
    <w:rsid w:val="000058C8"/>
    <w:rsid w:val="00005928"/>
    <w:rsid w:val="000061FB"/>
    <w:rsid w:val="00006E2E"/>
    <w:rsid w:val="00007223"/>
    <w:rsid w:val="0001215C"/>
    <w:rsid w:val="000121C0"/>
    <w:rsid w:val="00015231"/>
    <w:rsid w:val="00016EE3"/>
    <w:rsid w:val="0001760B"/>
    <w:rsid w:val="00020AC4"/>
    <w:rsid w:val="00022E7D"/>
    <w:rsid w:val="00023C30"/>
    <w:rsid w:val="00025B28"/>
    <w:rsid w:val="00025C86"/>
    <w:rsid w:val="000311C2"/>
    <w:rsid w:val="00031858"/>
    <w:rsid w:val="00031A8E"/>
    <w:rsid w:val="00031C2F"/>
    <w:rsid w:val="000325BD"/>
    <w:rsid w:val="0003301F"/>
    <w:rsid w:val="00034850"/>
    <w:rsid w:val="00034A69"/>
    <w:rsid w:val="00034ABB"/>
    <w:rsid w:val="00035044"/>
    <w:rsid w:val="00035F57"/>
    <w:rsid w:val="00036282"/>
    <w:rsid w:val="00037DBA"/>
    <w:rsid w:val="00041B60"/>
    <w:rsid w:val="00041FEB"/>
    <w:rsid w:val="000426F3"/>
    <w:rsid w:val="00043017"/>
    <w:rsid w:val="00043C21"/>
    <w:rsid w:val="0004536D"/>
    <w:rsid w:val="00046661"/>
    <w:rsid w:val="00046B8C"/>
    <w:rsid w:val="00046DE9"/>
    <w:rsid w:val="00047732"/>
    <w:rsid w:val="00050CC7"/>
    <w:rsid w:val="00055290"/>
    <w:rsid w:val="0005668B"/>
    <w:rsid w:val="000575E6"/>
    <w:rsid w:val="00057C63"/>
    <w:rsid w:val="00060B26"/>
    <w:rsid w:val="00062288"/>
    <w:rsid w:val="00062A6C"/>
    <w:rsid w:val="00063B39"/>
    <w:rsid w:val="00063FB9"/>
    <w:rsid w:val="0006780E"/>
    <w:rsid w:val="00070458"/>
    <w:rsid w:val="00071EB0"/>
    <w:rsid w:val="000722EF"/>
    <w:rsid w:val="00072D1A"/>
    <w:rsid w:val="000736C4"/>
    <w:rsid w:val="00073D12"/>
    <w:rsid w:val="0007403B"/>
    <w:rsid w:val="00074937"/>
    <w:rsid w:val="0007606F"/>
    <w:rsid w:val="00077EAB"/>
    <w:rsid w:val="00080B1F"/>
    <w:rsid w:val="00081CDD"/>
    <w:rsid w:val="0008551E"/>
    <w:rsid w:val="000860EA"/>
    <w:rsid w:val="000868C7"/>
    <w:rsid w:val="00086DA9"/>
    <w:rsid w:val="00086DEB"/>
    <w:rsid w:val="00087B54"/>
    <w:rsid w:val="00091301"/>
    <w:rsid w:val="0009611F"/>
    <w:rsid w:val="00097363"/>
    <w:rsid w:val="000A1457"/>
    <w:rsid w:val="000A1B5C"/>
    <w:rsid w:val="000A32EE"/>
    <w:rsid w:val="000A4F9D"/>
    <w:rsid w:val="000A5D83"/>
    <w:rsid w:val="000A634A"/>
    <w:rsid w:val="000A7A20"/>
    <w:rsid w:val="000B0BE5"/>
    <w:rsid w:val="000B3A75"/>
    <w:rsid w:val="000B46F3"/>
    <w:rsid w:val="000B4D3B"/>
    <w:rsid w:val="000B598B"/>
    <w:rsid w:val="000B7BE3"/>
    <w:rsid w:val="000C23BF"/>
    <w:rsid w:val="000C2566"/>
    <w:rsid w:val="000C44E0"/>
    <w:rsid w:val="000C62B0"/>
    <w:rsid w:val="000C67E6"/>
    <w:rsid w:val="000C6E4C"/>
    <w:rsid w:val="000C7D97"/>
    <w:rsid w:val="000C7E02"/>
    <w:rsid w:val="000D0685"/>
    <w:rsid w:val="000D2A08"/>
    <w:rsid w:val="000D2CE5"/>
    <w:rsid w:val="000D3410"/>
    <w:rsid w:val="000D3694"/>
    <w:rsid w:val="000D4600"/>
    <w:rsid w:val="000D47F3"/>
    <w:rsid w:val="000D5060"/>
    <w:rsid w:val="000D59EF"/>
    <w:rsid w:val="000D666D"/>
    <w:rsid w:val="000D7AC2"/>
    <w:rsid w:val="000E0C56"/>
    <w:rsid w:val="000E1301"/>
    <w:rsid w:val="000E1869"/>
    <w:rsid w:val="000E1D04"/>
    <w:rsid w:val="000E3103"/>
    <w:rsid w:val="000E3A25"/>
    <w:rsid w:val="000E404F"/>
    <w:rsid w:val="000E537F"/>
    <w:rsid w:val="000E5838"/>
    <w:rsid w:val="000E68B8"/>
    <w:rsid w:val="000E7BB1"/>
    <w:rsid w:val="000E7D70"/>
    <w:rsid w:val="000F0117"/>
    <w:rsid w:val="000F0D6F"/>
    <w:rsid w:val="000F113D"/>
    <w:rsid w:val="000F187B"/>
    <w:rsid w:val="000F22DC"/>
    <w:rsid w:val="000F3786"/>
    <w:rsid w:val="000F3E48"/>
    <w:rsid w:val="000F6A8F"/>
    <w:rsid w:val="000F7EA6"/>
    <w:rsid w:val="00100D13"/>
    <w:rsid w:val="001062AE"/>
    <w:rsid w:val="0010670B"/>
    <w:rsid w:val="00115C5B"/>
    <w:rsid w:val="00115E10"/>
    <w:rsid w:val="00117B7F"/>
    <w:rsid w:val="0012199B"/>
    <w:rsid w:val="001219C0"/>
    <w:rsid w:val="00121B17"/>
    <w:rsid w:val="00121D11"/>
    <w:rsid w:val="0012263B"/>
    <w:rsid w:val="001226FF"/>
    <w:rsid w:val="00123E43"/>
    <w:rsid w:val="00124944"/>
    <w:rsid w:val="001250AB"/>
    <w:rsid w:val="00125110"/>
    <w:rsid w:val="0012577F"/>
    <w:rsid w:val="001258D0"/>
    <w:rsid w:val="00125C84"/>
    <w:rsid w:val="00127A7B"/>
    <w:rsid w:val="00130A1B"/>
    <w:rsid w:val="00130FAB"/>
    <w:rsid w:val="0013114F"/>
    <w:rsid w:val="00131DF6"/>
    <w:rsid w:val="00132AB8"/>
    <w:rsid w:val="001356F4"/>
    <w:rsid w:val="00135F2B"/>
    <w:rsid w:val="00136A70"/>
    <w:rsid w:val="00141255"/>
    <w:rsid w:val="001418A6"/>
    <w:rsid w:val="00141BFF"/>
    <w:rsid w:val="001421DE"/>
    <w:rsid w:val="00143DFD"/>
    <w:rsid w:val="0014486F"/>
    <w:rsid w:val="00145DCD"/>
    <w:rsid w:val="00145FA6"/>
    <w:rsid w:val="00146FDC"/>
    <w:rsid w:val="001470AB"/>
    <w:rsid w:val="00150108"/>
    <w:rsid w:val="00150BA8"/>
    <w:rsid w:val="001514CE"/>
    <w:rsid w:val="00151D7E"/>
    <w:rsid w:val="001522AD"/>
    <w:rsid w:val="001524A6"/>
    <w:rsid w:val="001532E5"/>
    <w:rsid w:val="00156786"/>
    <w:rsid w:val="0016085E"/>
    <w:rsid w:val="00160C93"/>
    <w:rsid w:val="00162130"/>
    <w:rsid w:val="00162A21"/>
    <w:rsid w:val="001631B5"/>
    <w:rsid w:val="0016577E"/>
    <w:rsid w:val="00166056"/>
    <w:rsid w:val="001661AD"/>
    <w:rsid w:val="001671C7"/>
    <w:rsid w:val="001701E1"/>
    <w:rsid w:val="001711AD"/>
    <w:rsid w:val="00172BF3"/>
    <w:rsid w:val="00173C76"/>
    <w:rsid w:val="00173D28"/>
    <w:rsid w:val="001758B4"/>
    <w:rsid w:val="00177CAF"/>
    <w:rsid w:val="00180B5E"/>
    <w:rsid w:val="001815D5"/>
    <w:rsid w:val="00185EFE"/>
    <w:rsid w:val="0018670A"/>
    <w:rsid w:val="0018733A"/>
    <w:rsid w:val="0018772E"/>
    <w:rsid w:val="00190058"/>
    <w:rsid w:val="001911B1"/>
    <w:rsid w:val="00191CC8"/>
    <w:rsid w:val="0019228A"/>
    <w:rsid w:val="001924FC"/>
    <w:rsid w:val="00196BB8"/>
    <w:rsid w:val="0019734E"/>
    <w:rsid w:val="001976CC"/>
    <w:rsid w:val="001A0BC9"/>
    <w:rsid w:val="001A2949"/>
    <w:rsid w:val="001A4772"/>
    <w:rsid w:val="001B0195"/>
    <w:rsid w:val="001B020C"/>
    <w:rsid w:val="001B04E9"/>
    <w:rsid w:val="001B056C"/>
    <w:rsid w:val="001B1CCE"/>
    <w:rsid w:val="001B1CDB"/>
    <w:rsid w:val="001B3A21"/>
    <w:rsid w:val="001B416C"/>
    <w:rsid w:val="001B658E"/>
    <w:rsid w:val="001B77D1"/>
    <w:rsid w:val="001C07D0"/>
    <w:rsid w:val="001C228D"/>
    <w:rsid w:val="001C30AB"/>
    <w:rsid w:val="001C3388"/>
    <w:rsid w:val="001C5105"/>
    <w:rsid w:val="001C5E8D"/>
    <w:rsid w:val="001C67D9"/>
    <w:rsid w:val="001C7234"/>
    <w:rsid w:val="001D055F"/>
    <w:rsid w:val="001D0C3A"/>
    <w:rsid w:val="001D13F4"/>
    <w:rsid w:val="001D1433"/>
    <w:rsid w:val="001D149B"/>
    <w:rsid w:val="001D2858"/>
    <w:rsid w:val="001D3036"/>
    <w:rsid w:val="001D3859"/>
    <w:rsid w:val="001D4288"/>
    <w:rsid w:val="001D4A26"/>
    <w:rsid w:val="001D5D33"/>
    <w:rsid w:val="001D5D8F"/>
    <w:rsid w:val="001E0B62"/>
    <w:rsid w:val="001E229E"/>
    <w:rsid w:val="001E2A7B"/>
    <w:rsid w:val="001E2CFE"/>
    <w:rsid w:val="001E2E1B"/>
    <w:rsid w:val="001E41D5"/>
    <w:rsid w:val="001E6E76"/>
    <w:rsid w:val="001F0A04"/>
    <w:rsid w:val="001F0A73"/>
    <w:rsid w:val="001F166C"/>
    <w:rsid w:val="001F28B6"/>
    <w:rsid w:val="001F3835"/>
    <w:rsid w:val="001F4CA6"/>
    <w:rsid w:val="001F58EC"/>
    <w:rsid w:val="001F5CA0"/>
    <w:rsid w:val="001F7FFC"/>
    <w:rsid w:val="00200C55"/>
    <w:rsid w:val="0020570E"/>
    <w:rsid w:val="0020634A"/>
    <w:rsid w:val="0020718C"/>
    <w:rsid w:val="00211B19"/>
    <w:rsid w:val="00212381"/>
    <w:rsid w:val="00213E24"/>
    <w:rsid w:val="00214A28"/>
    <w:rsid w:val="00216D6B"/>
    <w:rsid w:val="00217709"/>
    <w:rsid w:val="00221021"/>
    <w:rsid w:val="002215EE"/>
    <w:rsid w:val="002225D4"/>
    <w:rsid w:val="00224527"/>
    <w:rsid w:val="00224F1C"/>
    <w:rsid w:val="00225EDF"/>
    <w:rsid w:val="002263CF"/>
    <w:rsid w:val="00226711"/>
    <w:rsid w:val="002276C7"/>
    <w:rsid w:val="00227D6A"/>
    <w:rsid w:val="00227E70"/>
    <w:rsid w:val="00230A49"/>
    <w:rsid w:val="00230B3B"/>
    <w:rsid w:val="00233935"/>
    <w:rsid w:val="00235E34"/>
    <w:rsid w:val="00236941"/>
    <w:rsid w:val="002412F8"/>
    <w:rsid w:val="0024180D"/>
    <w:rsid w:val="00243338"/>
    <w:rsid w:val="00244D87"/>
    <w:rsid w:val="00246866"/>
    <w:rsid w:val="00246ADD"/>
    <w:rsid w:val="002473A6"/>
    <w:rsid w:val="002508E6"/>
    <w:rsid w:val="002508F4"/>
    <w:rsid w:val="00252358"/>
    <w:rsid w:val="00252C61"/>
    <w:rsid w:val="00253BB5"/>
    <w:rsid w:val="00254854"/>
    <w:rsid w:val="00255FBC"/>
    <w:rsid w:val="002561AC"/>
    <w:rsid w:val="002567E8"/>
    <w:rsid w:val="00257538"/>
    <w:rsid w:val="00260D48"/>
    <w:rsid w:val="00260FA4"/>
    <w:rsid w:val="002616D8"/>
    <w:rsid w:val="00262261"/>
    <w:rsid w:val="002622A3"/>
    <w:rsid w:val="00264DBB"/>
    <w:rsid w:val="00265865"/>
    <w:rsid w:val="002669E8"/>
    <w:rsid w:val="002677C1"/>
    <w:rsid w:val="00267C84"/>
    <w:rsid w:val="0027216E"/>
    <w:rsid w:val="00273430"/>
    <w:rsid w:val="002745C9"/>
    <w:rsid w:val="00274693"/>
    <w:rsid w:val="00276909"/>
    <w:rsid w:val="00277585"/>
    <w:rsid w:val="002775F4"/>
    <w:rsid w:val="00277BA3"/>
    <w:rsid w:val="002801C0"/>
    <w:rsid w:val="002801F8"/>
    <w:rsid w:val="00280263"/>
    <w:rsid w:val="00280AA4"/>
    <w:rsid w:val="00282C28"/>
    <w:rsid w:val="00282D58"/>
    <w:rsid w:val="00282F2D"/>
    <w:rsid w:val="00283444"/>
    <w:rsid w:val="00287D81"/>
    <w:rsid w:val="002900DF"/>
    <w:rsid w:val="00290BF1"/>
    <w:rsid w:val="00293BAE"/>
    <w:rsid w:val="00295491"/>
    <w:rsid w:val="00295E33"/>
    <w:rsid w:val="00297780"/>
    <w:rsid w:val="002A090F"/>
    <w:rsid w:val="002A0CC0"/>
    <w:rsid w:val="002A0E5D"/>
    <w:rsid w:val="002A0F8D"/>
    <w:rsid w:val="002A10CC"/>
    <w:rsid w:val="002A1664"/>
    <w:rsid w:val="002A1C2C"/>
    <w:rsid w:val="002A33FC"/>
    <w:rsid w:val="002A58A1"/>
    <w:rsid w:val="002A6633"/>
    <w:rsid w:val="002A6806"/>
    <w:rsid w:val="002A6A1B"/>
    <w:rsid w:val="002A7BA8"/>
    <w:rsid w:val="002B04D9"/>
    <w:rsid w:val="002B1EA3"/>
    <w:rsid w:val="002B24A6"/>
    <w:rsid w:val="002B2504"/>
    <w:rsid w:val="002B53AF"/>
    <w:rsid w:val="002B5512"/>
    <w:rsid w:val="002B6094"/>
    <w:rsid w:val="002B6B85"/>
    <w:rsid w:val="002C0E85"/>
    <w:rsid w:val="002C1C23"/>
    <w:rsid w:val="002C2020"/>
    <w:rsid w:val="002C2601"/>
    <w:rsid w:val="002C308C"/>
    <w:rsid w:val="002C34E3"/>
    <w:rsid w:val="002C3A91"/>
    <w:rsid w:val="002C4EDB"/>
    <w:rsid w:val="002C53B8"/>
    <w:rsid w:val="002C6FB6"/>
    <w:rsid w:val="002C7360"/>
    <w:rsid w:val="002C7DF4"/>
    <w:rsid w:val="002D14EF"/>
    <w:rsid w:val="002D1662"/>
    <w:rsid w:val="002D2483"/>
    <w:rsid w:val="002D298A"/>
    <w:rsid w:val="002D2DAB"/>
    <w:rsid w:val="002D46F7"/>
    <w:rsid w:val="002D4E0E"/>
    <w:rsid w:val="002D5501"/>
    <w:rsid w:val="002D6045"/>
    <w:rsid w:val="002D74CA"/>
    <w:rsid w:val="002D7724"/>
    <w:rsid w:val="002E0C26"/>
    <w:rsid w:val="002E1208"/>
    <w:rsid w:val="002E2348"/>
    <w:rsid w:val="002E3B62"/>
    <w:rsid w:val="002E48A6"/>
    <w:rsid w:val="002E4C89"/>
    <w:rsid w:val="002E5E0A"/>
    <w:rsid w:val="002E6D7E"/>
    <w:rsid w:val="002F02B0"/>
    <w:rsid w:val="002F0E27"/>
    <w:rsid w:val="002F173F"/>
    <w:rsid w:val="002F2757"/>
    <w:rsid w:val="002F5428"/>
    <w:rsid w:val="002F6F61"/>
    <w:rsid w:val="00303129"/>
    <w:rsid w:val="00303AB2"/>
    <w:rsid w:val="00304474"/>
    <w:rsid w:val="0030540F"/>
    <w:rsid w:val="00305D6C"/>
    <w:rsid w:val="00305EC4"/>
    <w:rsid w:val="0030651C"/>
    <w:rsid w:val="00306B96"/>
    <w:rsid w:val="00311FC4"/>
    <w:rsid w:val="003121D6"/>
    <w:rsid w:val="00312A65"/>
    <w:rsid w:val="00314FC9"/>
    <w:rsid w:val="003164E9"/>
    <w:rsid w:val="00317FD7"/>
    <w:rsid w:val="003202A7"/>
    <w:rsid w:val="003208FE"/>
    <w:rsid w:val="0032216D"/>
    <w:rsid w:val="0032418A"/>
    <w:rsid w:val="00325E3A"/>
    <w:rsid w:val="0032736A"/>
    <w:rsid w:val="00327E7B"/>
    <w:rsid w:val="003306BE"/>
    <w:rsid w:val="0033082C"/>
    <w:rsid w:val="003340ED"/>
    <w:rsid w:val="00334F68"/>
    <w:rsid w:val="00334F86"/>
    <w:rsid w:val="00335346"/>
    <w:rsid w:val="00335537"/>
    <w:rsid w:val="003362EF"/>
    <w:rsid w:val="00336D6E"/>
    <w:rsid w:val="00342463"/>
    <w:rsid w:val="0034380B"/>
    <w:rsid w:val="00344704"/>
    <w:rsid w:val="00346431"/>
    <w:rsid w:val="00350F3F"/>
    <w:rsid w:val="0035312D"/>
    <w:rsid w:val="0035352F"/>
    <w:rsid w:val="00353733"/>
    <w:rsid w:val="00353940"/>
    <w:rsid w:val="003541FF"/>
    <w:rsid w:val="00354876"/>
    <w:rsid w:val="00355095"/>
    <w:rsid w:val="00357860"/>
    <w:rsid w:val="00357BF7"/>
    <w:rsid w:val="00357C6E"/>
    <w:rsid w:val="00357FB1"/>
    <w:rsid w:val="00360FFD"/>
    <w:rsid w:val="0036539D"/>
    <w:rsid w:val="00365729"/>
    <w:rsid w:val="00365D69"/>
    <w:rsid w:val="00365D95"/>
    <w:rsid w:val="00367AD1"/>
    <w:rsid w:val="0037013B"/>
    <w:rsid w:val="00370336"/>
    <w:rsid w:val="00370B7D"/>
    <w:rsid w:val="00370BDC"/>
    <w:rsid w:val="00372196"/>
    <w:rsid w:val="003723EE"/>
    <w:rsid w:val="00374351"/>
    <w:rsid w:val="00375835"/>
    <w:rsid w:val="00380089"/>
    <w:rsid w:val="00380604"/>
    <w:rsid w:val="0038150C"/>
    <w:rsid w:val="00383489"/>
    <w:rsid w:val="00383578"/>
    <w:rsid w:val="003864F0"/>
    <w:rsid w:val="00390379"/>
    <w:rsid w:val="003903D1"/>
    <w:rsid w:val="0039388E"/>
    <w:rsid w:val="00394137"/>
    <w:rsid w:val="00394C33"/>
    <w:rsid w:val="00395AFF"/>
    <w:rsid w:val="00395C00"/>
    <w:rsid w:val="00396C44"/>
    <w:rsid w:val="003975ED"/>
    <w:rsid w:val="003A18A5"/>
    <w:rsid w:val="003A1CF2"/>
    <w:rsid w:val="003A21D1"/>
    <w:rsid w:val="003A2B70"/>
    <w:rsid w:val="003A53F0"/>
    <w:rsid w:val="003B0A0C"/>
    <w:rsid w:val="003B1967"/>
    <w:rsid w:val="003B6FD7"/>
    <w:rsid w:val="003B7164"/>
    <w:rsid w:val="003B75D4"/>
    <w:rsid w:val="003C08CA"/>
    <w:rsid w:val="003C0EF1"/>
    <w:rsid w:val="003C1B66"/>
    <w:rsid w:val="003C1BF0"/>
    <w:rsid w:val="003C22B0"/>
    <w:rsid w:val="003C48F4"/>
    <w:rsid w:val="003C5048"/>
    <w:rsid w:val="003C65D8"/>
    <w:rsid w:val="003C6D56"/>
    <w:rsid w:val="003C7961"/>
    <w:rsid w:val="003C7E14"/>
    <w:rsid w:val="003D1C8F"/>
    <w:rsid w:val="003D3D41"/>
    <w:rsid w:val="003D3F81"/>
    <w:rsid w:val="003D7282"/>
    <w:rsid w:val="003D740C"/>
    <w:rsid w:val="003E0603"/>
    <w:rsid w:val="003E08C8"/>
    <w:rsid w:val="003E2883"/>
    <w:rsid w:val="003E2BA4"/>
    <w:rsid w:val="003E31A5"/>
    <w:rsid w:val="003E357D"/>
    <w:rsid w:val="003E4762"/>
    <w:rsid w:val="003E5313"/>
    <w:rsid w:val="003E5995"/>
    <w:rsid w:val="003E607D"/>
    <w:rsid w:val="003F02BB"/>
    <w:rsid w:val="003F1068"/>
    <w:rsid w:val="003F1980"/>
    <w:rsid w:val="003F30F6"/>
    <w:rsid w:val="003F3609"/>
    <w:rsid w:val="003F3E5E"/>
    <w:rsid w:val="003F44D6"/>
    <w:rsid w:val="003F58CD"/>
    <w:rsid w:val="003F7447"/>
    <w:rsid w:val="003F7B3A"/>
    <w:rsid w:val="00405DA7"/>
    <w:rsid w:val="00407122"/>
    <w:rsid w:val="0040783D"/>
    <w:rsid w:val="004078BB"/>
    <w:rsid w:val="00407DEF"/>
    <w:rsid w:val="00407F67"/>
    <w:rsid w:val="0041050B"/>
    <w:rsid w:val="00410D89"/>
    <w:rsid w:val="004128DD"/>
    <w:rsid w:val="004145C7"/>
    <w:rsid w:val="004154A2"/>
    <w:rsid w:val="00415B8D"/>
    <w:rsid w:val="004160AE"/>
    <w:rsid w:val="00417184"/>
    <w:rsid w:val="00417285"/>
    <w:rsid w:val="0042246F"/>
    <w:rsid w:val="00422FB4"/>
    <w:rsid w:val="004240F6"/>
    <w:rsid w:val="004242F6"/>
    <w:rsid w:val="00424DA9"/>
    <w:rsid w:val="00425258"/>
    <w:rsid w:val="004253E1"/>
    <w:rsid w:val="00426097"/>
    <w:rsid w:val="00426172"/>
    <w:rsid w:val="004273B3"/>
    <w:rsid w:val="00431DD9"/>
    <w:rsid w:val="0043255B"/>
    <w:rsid w:val="00432588"/>
    <w:rsid w:val="004334F0"/>
    <w:rsid w:val="00434577"/>
    <w:rsid w:val="00434D3F"/>
    <w:rsid w:val="00435091"/>
    <w:rsid w:val="00436684"/>
    <w:rsid w:val="00440AC8"/>
    <w:rsid w:val="00441013"/>
    <w:rsid w:val="004431D0"/>
    <w:rsid w:val="0044450F"/>
    <w:rsid w:val="00444845"/>
    <w:rsid w:val="00444E1F"/>
    <w:rsid w:val="00447CB7"/>
    <w:rsid w:val="004502A6"/>
    <w:rsid w:val="004507EB"/>
    <w:rsid w:val="00451F9A"/>
    <w:rsid w:val="00453F23"/>
    <w:rsid w:val="00455D62"/>
    <w:rsid w:val="00455DC9"/>
    <w:rsid w:val="00456899"/>
    <w:rsid w:val="00456CD8"/>
    <w:rsid w:val="00457169"/>
    <w:rsid w:val="004575F6"/>
    <w:rsid w:val="00460FD7"/>
    <w:rsid w:val="00461695"/>
    <w:rsid w:val="00463F34"/>
    <w:rsid w:val="0046402E"/>
    <w:rsid w:val="0046437E"/>
    <w:rsid w:val="0046445E"/>
    <w:rsid w:val="00464F85"/>
    <w:rsid w:val="004668DE"/>
    <w:rsid w:val="00466B23"/>
    <w:rsid w:val="00466E28"/>
    <w:rsid w:val="00466FB2"/>
    <w:rsid w:val="004677F4"/>
    <w:rsid w:val="004701E8"/>
    <w:rsid w:val="004704CE"/>
    <w:rsid w:val="00470A8B"/>
    <w:rsid w:val="00471CAA"/>
    <w:rsid w:val="00472253"/>
    <w:rsid w:val="00473017"/>
    <w:rsid w:val="0047452A"/>
    <w:rsid w:val="00475336"/>
    <w:rsid w:val="0047628F"/>
    <w:rsid w:val="0047772B"/>
    <w:rsid w:val="00480977"/>
    <w:rsid w:val="00481C94"/>
    <w:rsid w:val="00481DB4"/>
    <w:rsid w:val="00481FC0"/>
    <w:rsid w:val="004842DE"/>
    <w:rsid w:val="004848C5"/>
    <w:rsid w:val="00485721"/>
    <w:rsid w:val="0048610C"/>
    <w:rsid w:val="00491483"/>
    <w:rsid w:val="00491932"/>
    <w:rsid w:val="00491950"/>
    <w:rsid w:val="00493E53"/>
    <w:rsid w:val="004A17C0"/>
    <w:rsid w:val="004A4936"/>
    <w:rsid w:val="004A4DBB"/>
    <w:rsid w:val="004A5613"/>
    <w:rsid w:val="004A669F"/>
    <w:rsid w:val="004A7237"/>
    <w:rsid w:val="004B33D9"/>
    <w:rsid w:val="004B3EB6"/>
    <w:rsid w:val="004B44C6"/>
    <w:rsid w:val="004B4F4D"/>
    <w:rsid w:val="004C4103"/>
    <w:rsid w:val="004C5133"/>
    <w:rsid w:val="004C7604"/>
    <w:rsid w:val="004D0CDD"/>
    <w:rsid w:val="004D13D3"/>
    <w:rsid w:val="004D29A5"/>
    <w:rsid w:val="004D41FF"/>
    <w:rsid w:val="004D6397"/>
    <w:rsid w:val="004D68BA"/>
    <w:rsid w:val="004D6951"/>
    <w:rsid w:val="004D7A17"/>
    <w:rsid w:val="004E099B"/>
    <w:rsid w:val="004E1C01"/>
    <w:rsid w:val="004E1FB1"/>
    <w:rsid w:val="004E2C96"/>
    <w:rsid w:val="004E2D94"/>
    <w:rsid w:val="004E4FEE"/>
    <w:rsid w:val="004E5144"/>
    <w:rsid w:val="004E5D33"/>
    <w:rsid w:val="004E5DF0"/>
    <w:rsid w:val="004E5E88"/>
    <w:rsid w:val="004E5FDF"/>
    <w:rsid w:val="004E7249"/>
    <w:rsid w:val="004E7755"/>
    <w:rsid w:val="004F0178"/>
    <w:rsid w:val="004F1F7B"/>
    <w:rsid w:val="004F29D6"/>
    <w:rsid w:val="004F42C7"/>
    <w:rsid w:val="004F4715"/>
    <w:rsid w:val="004F6A77"/>
    <w:rsid w:val="00500C93"/>
    <w:rsid w:val="00501D8D"/>
    <w:rsid w:val="00503D2E"/>
    <w:rsid w:val="00503F5C"/>
    <w:rsid w:val="005057BF"/>
    <w:rsid w:val="00505935"/>
    <w:rsid w:val="00505D2B"/>
    <w:rsid w:val="00505F15"/>
    <w:rsid w:val="005075EF"/>
    <w:rsid w:val="00510A2A"/>
    <w:rsid w:val="00512FE1"/>
    <w:rsid w:val="005133D0"/>
    <w:rsid w:val="00513E5A"/>
    <w:rsid w:val="005142FF"/>
    <w:rsid w:val="00514CAC"/>
    <w:rsid w:val="00514D16"/>
    <w:rsid w:val="00516FD4"/>
    <w:rsid w:val="00517AEE"/>
    <w:rsid w:val="00521B99"/>
    <w:rsid w:val="0052361B"/>
    <w:rsid w:val="00523853"/>
    <w:rsid w:val="00524A2D"/>
    <w:rsid w:val="00525773"/>
    <w:rsid w:val="00525C91"/>
    <w:rsid w:val="00526582"/>
    <w:rsid w:val="00527320"/>
    <w:rsid w:val="00532965"/>
    <w:rsid w:val="00532E62"/>
    <w:rsid w:val="0053300B"/>
    <w:rsid w:val="00534A41"/>
    <w:rsid w:val="00534E69"/>
    <w:rsid w:val="0053555F"/>
    <w:rsid w:val="005365BC"/>
    <w:rsid w:val="0054034D"/>
    <w:rsid w:val="00540746"/>
    <w:rsid w:val="005411B7"/>
    <w:rsid w:val="00543501"/>
    <w:rsid w:val="005435EE"/>
    <w:rsid w:val="00544C63"/>
    <w:rsid w:val="00546E49"/>
    <w:rsid w:val="00547E67"/>
    <w:rsid w:val="00550920"/>
    <w:rsid w:val="0055316A"/>
    <w:rsid w:val="005537E8"/>
    <w:rsid w:val="00554308"/>
    <w:rsid w:val="00554FB2"/>
    <w:rsid w:val="005569F0"/>
    <w:rsid w:val="00556F2C"/>
    <w:rsid w:val="00557E86"/>
    <w:rsid w:val="005618BB"/>
    <w:rsid w:val="0056355A"/>
    <w:rsid w:val="00563716"/>
    <w:rsid w:val="005638EF"/>
    <w:rsid w:val="005654ED"/>
    <w:rsid w:val="00565D55"/>
    <w:rsid w:val="00566BC7"/>
    <w:rsid w:val="00567016"/>
    <w:rsid w:val="0057058F"/>
    <w:rsid w:val="005708CF"/>
    <w:rsid w:val="005712AB"/>
    <w:rsid w:val="005717A9"/>
    <w:rsid w:val="005733C1"/>
    <w:rsid w:val="00573CEC"/>
    <w:rsid w:val="00573FBF"/>
    <w:rsid w:val="00574373"/>
    <w:rsid w:val="005748BD"/>
    <w:rsid w:val="00575B68"/>
    <w:rsid w:val="00575E04"/>
    <w:rsid w:val="005762DB"/>
    <w:rsid w:val="005770A7"/>
    <w:rsid w:val="00577D17"/>
    <w:rsid w:val="00580D09"/>
    <w:rsid w:val="00580D3C"/>
    <w:rsid w:val="00583B6D"/>
    <w:rsid w:val="00586AB7"/>
    <w:rsid w:val="00590A83"/>
    <w:rsid w:val="00591A99"/>
    <w:rsid w:val="0059223B"/>
    <w:rsid w:val="005926A0"/>
    <w:rsid w:val="005A31F9"/>
    <w:rsid w:val="005A53B4"/>
    <w:rsid w:val="005A5737"/>
    <w:rsid w:val="005A7EB5"/>
    <w:rsid w:val="005B0990"/>
    <w:rsid w:val="005B2687"/>
    <w:rsid w:val="005B32A1"/>
    <w:rsid w:val="005B3763"/>
    <w:rsid w:val="005B3C7C"/>
    <w:rsid w:val="005B3EB2"/>
    <w:rsid w:val="005B3EBA"/>
    <w:rsid w:val="005B416D"/>
    <w:rsid w:val="005B451F"/>
    <w:rsid w:val="005C0228"/>
    <w:rsid w:val="005C1BB5"/>
    <w:rsid w:val="005C1D44"/>
    <w:rsid w:val="005C2EFD"/>
    <w:rsid w:val="005C3900"/>
    <w:rsid w:val="005C4C76"/>
    <w:rsid w:val="005C64CB"/>
    <w:rsid w:val="005C78BA"/>
    <w:rsid w:val="005D0765"/>
    <w:rsid w:val="005D0E9B"/>
    <w:rsid w:val="005D1C79"/>
    <w:rsid w:val="005D1D71"/>
    <w:rsid w:val="005D1E5C"/>
    <w:rsid w:val="005D21AF"/>
    <w:rsid w:val="005D3333"/>
    <w:rsid w:val="005D35F3"/>
    <w:rsid w:val="005D4BDD"/>
    <w:rsid w:val="005D4E42"/>
    <w:rsid w:val="005D557A"/>
    <w:rsid w:val="005D688B"/>
    <w:rsid w:val="005D73AB"/>
    <w:rsid w:val="005D7B95"/>
    <w:rsid w:val="005D7FC6"/>
    <w:rsid w:val="005E00B5"/>
    <w:rsid w:val="005E0971"/>
    <w:rsid w:val="005E0D73"/>
    <w:rsid w:val="005E153F"/>
    <w:rsid w:val="005E20B7"/>
    <w:rsid w:val="005E5F7C"/>
    <w:rsid w:val="005E615D"/>
    <w:rsid w:val="005E63F0"/>
    <w:rsid w:val="005E6D2B"/>
    <w:rsid w:val="005E7874"/>
    <w:rsid w:val="005E78B4"/>
    <w:rsid w:val="005E7933"/>
    <w:rsid w:val="005F1B47"/>
    <w:rsid w:val="005F336E"/>
    <w:rsid w:val="005F3A3C"/>
    <w:rsid w:val="005F3AC9"/>
    <w:rsid w:val="005F4446"/>
    <w:rsid w:val="005F6D10"/>
    <w:rsid w:val="005F7750"/>
    <w:rsid w:val="00602274"/>
    <w:rsid w:val="00602726"/>
    <w:rsid w:val="00602FB5"/>
    <w:rsid w:val="00603F09"/>
    <w:rsid w:val="00605D83"/>
    <w:rsid w:val="00605ECF"/>
    <w:rsid w:val="00605F55"/>
    <w:rsid w:val="006060E3"/>
    <w:rsid w:val="00606AA5"/>
    <w:rsid w:val="00606ABC"/>
    <w:rsid w:val="00606F69"/>
    <w:rsid w:val="006070FB"/>
    <w:rsid w:val="00607472"/>
    <w:rsid w:val="006075B2"/>
    <w:rsid w:val="00607A94"/>
    <w:rsid w:val="00607B4D"/>
    <w:rsid w:val="00610B73"/>
    <w:rsid w:val="0061271F"/>
    <w:rsid w:val="00612D2D"/>
    <w:rsid w:val="00613AB2"/>
    <w:rsid w:val="00613AE7"/>
    <w:rsid w:val="006140A0"/>
    <w:rsid w:val="00616293"/>
    <w:rsid w:val="00616332"/>
    <w:rsid w:val="00617709"/>
    <w:rsid w:val="00622B95"/>
    <w:rsid w:val="0062309A"/>
    <w:rsid w:val="00623308"/>
    <w:rsid w:val="00623A0B"/>
    <w:rsid w:val="006249A5"/>
    <w:rsid w:val="0062526D"/>
    <w:rsid w:val="00630A12"/>
    <w:rsid w:val="00634E7A"/>
    <w:rsid w:val="006352A6"/>
    <w:rsid w:val="00635B69"/>
    <w:rsid w:val="00636EB9"/>
    <w:rsid w:val="00637D87"/>
    <w:rsid w:val="00640176"/>
    <w:rsid w:val="00641256"/>
    <w:rsid w:val="00641992"/>
    <w:rsid w:val="006439F4"/>
    <w:rsid w:val="0064577D"/>
    <w:rsid w:val="00646360"/>
    <w:rsid w:val="00646EF4"/>
    <w:rsid w:val="00646F46"/>
    <w:rsid w:val="006507CD"/>
    <w:rsid w:val="00651146"/>
    <w:rsid w:val="00652918"/>
    <w:rsid w:val="00652A97"/>
    <w:rsid w:val="00653BEA"/>
    <w:rsid w:val="006548FB"/>
    <w:rsid w:val="00654AD9"/>
    <w:rsid w:val="00655A4E"/>
    <w:rsid w:val="00657536"/>
    <w:rsid w:val="00657999"/>
    <w:rsid w:val="00660114"/>
    <w:rsid w:val="00660A32"/>
    <w:rsid w:val="00662DA4"/>
    <w:rsid w:val="00662DB8"/>
    <w:rsid w:val="00665618"/>
    <w:rsid w:val="00665620"/>
    <w:rsid w:val="0066746A"/>
    <w:rsid w:val="00670C54"/>
    <w:rsid w:val="00670C9F"/>
    <w:rsid w:val="00670E51"/>
    <w:rsid w:val="00671D7C"/>
    <w:rsid w:val="00671EEB"/>
    <w:rsid w:val="0067212F"/>
    <w:rsid w:val="006728DF"/>
    <w:rsid w:val="00672B1E"/>
    <w:rsid w:val="0067444F"/>
    <w:rsid w:val="0067606F"/>
    <w:rsid w:val="0068123A"/>
    <w:rsid w:val="006816EC"/>
    <w:rsid w:val="00682532"/>
    <w:rsid w:val="00682E4A"/>
    <w:rsid w:val="006846BD"/>
    <w:rsid w:val="0068516B"/>
    <w:rsid w:val="0068517E"/>
    <w:rsid w:val="00686203"/>
    <w:rsid w:val="00686599"/>
    <w:rsid w:val="00686F39"/>
    <w:rsid w:val="0068719F"/>
    <w:rsid w:val="00687472"/>
    <w:rsid w:val="0069045C"/>
    <w:rsid w:val="00690C2C"/>
    <w:rsid w:val="0069271D"/>
    <w:rsid w:val="00693196"/>
    <w:rsid w:val="0069365C"/>
    <w:rsid w:val="00693F27"/>
    <w:rsid w:val="00695062"/>
    <w:rsid w:val="00695ACA"/>
    <w:rsid w:val="00697A9A"/>
    <w:rsid w:val="00697D45"/>
    <w:rsid w:val="006A085C"/>
    <w:rsid w:val="006A089B"/>
    <w:rsid w:val="006A1C20"/>
    <w:rsid w:val="006A2485"/>
    <w:rsid w:val="006A4784"/>
    <w:rsid w:val="006A6567"/>
    <w:rsid w:val="006A65C1"/>
    <w:rsid w:val="006A72AC"/>
    <w:rsid w:val="006A7903"/>
    <w:rsid w:val="006B03D9"/>
    <w:rsid w:val="006B08C6"/>
    <w:rsid w:val="006B18ED"/>
    <w:rsid w:val="006B2E61"/>
    <w:rsid w:val="006B43F3"/>
    <w:rsid w:val="006B4DA8"/>
    <w:rsid w:val="006B7E20"/>
    <w:rsid w:val="006C0F07"/>
    <w:rsid w:val="006C2365"/>
    <w:rsid w:val="006C2E6C"/>
    <w:rsid w:val="006C2FF0"/>
    <w:rsid w:val="006C3A17"/>
    <w:rsid w:val="006C47F5"/>
    <w:rsid w:val="006C4E80"/>
    <w:rsid w:val="006C5D67"/>
    <w:rsid w:val="006C6014"/>
    <w:rsid w:val="006C6FED"/>
    <w:rsid w:val="006C7481"/>
    <w:rsid w:val="006C7658"/>
    <w:rsid w:val="006D03EF"/>
    <w:rsid w:val="006D060C"/>
    <w:rsid w:val="006D189B"/>
    <w:rsid w:val="006D261F"/>
    <w:rsid w:val="006D2B2E"/>
    <w:rsid w:val="006D672A"/>
    <w:rsid w:val="006D7D98"/>
    <w:rsid w:val="006E0CC5"/>
    <w:rsid w:val="006E39E2"/>
    <w:rsid w:val="006E4573"/>
    <w:rsid w:val="006E4EC0"/>
    <w:rsid w:val="006E5365"/>
    <w:rsid w:val="006E58A1"/>
    <w:rsid w:val="006E607C"/>
    <w:rsid w:val="006F1D7E"/>
    <w:rsid w:val="006F269F"/>
    <w:rsid w:val="006F3BA8"/>
    <w:rsid w:val="006F529D"/>
    <w:rsid w:val="006F5558"/>
    <w:rsid w:val="006F5EEA"/>
    <w:rsid w:val="006F6833"/>
    <w:rsid w:val="00701140"/>
    <w:rsid w:val="00701334"/>
    <w:rsid w:val="00702617"/>
    <w:rsid w:val="00702956"/>
    <w:rsid w:val="007043DB"/>
    <w:rsid w:val="007059AE"/>
    <w:rsid w:val="0070639D"/>
    <w:rsid w:val="0070653A"/>
    <w:rsid w:val="00706C61"/>
    <w:rsid w:val="00707363"/>
    <w:rsid w:val="00707445"/>
    <w:rsid w:val="00707607"/>
    <w:rsid w:val="007079A4"/>
    <w:rsid w:val="007101FA"/>
    <w:rsid w:val="007111A1"/>
    <w:rsid w:val="00711332"/>
    <w:rsid w:val="00711361"/>
    <w:rsid w:val="00711946"/>
    <w:rsid w:val="00712686"/>
    <w:rsid w:val="00712A9A"/>
    <w:rsid w:val="00712C67"/>
    <w:rsid w:val="00714D5F"/>
    <w:rsid w:val="00715AF0"/>
    <w:rsid w:val="0071678A"/>
    <w:rsid w:val="00716F44"/>
    <w:rsid w:val="00717BAD"/>
    <w:rsid w:val="00717C4F"/>
    <w:rsid w:val="007202AB"/>
    <w:rsid w:val="0072052B"/>
    <w:rsid w:val="00720CA5"/>
    <w:rsid w:val="00722630"/>
    <w:rsid w:val="00723BCB"/>
    <w:rsid w:val="007245F3"/>
    <w:rsid w:val="00724707"/>
    <w:rsid w:val="00726940"/>
    <w:rsid w:val="00727ECC"/>
    <w:rsid w:val="00727FE5"/>
    <w:rsid w:val="00730C32"/>
    <w:rsid w:val="00730D01"/>
    <w:rsid w:val="007318F5"/>
    <w:rsid w:val="00731B7C"/>
    <w:rsid w:val="00731CBE"/>
    <w:rsid w:val="0073223D"/>
    <w:rsid w:val="00734EA1"/>
    <w:rsid w:val="00734FAE"/>
    <w:rsid w:val="00735966"/>
    <w:rsid w:val="00735B40"/>
    <w:rsid w:val="00735C0E"/>
    <w:rsid w:val="00735CFF"/>
    <w:rsid w:val="00735FB7"/>
    <w:rsid w:val="00737023"/>
    <w:rsid w:val="007370B4"/>
    <w:rsid w:val="0073784F"/>
    <w:rsid w:val="00741CCB"/>
    <w:rsid w:val="00743D3B"/>
    <w:rsid w:val="00744294"/>
    <w:rsid w:val="0074507F"/>
    <w:rsid w:val="00745CCB"/>
    <w:rsid w:val="0075047C"/>
    <w:rsid w:val="00750633"/>
    <w:rsid w:val="00751000"/>
    <w:rsid w:val="00751578"/>
    <w:rsid w:val="0075231D"/>
    <w:rsid w:val="00752C5D"/>
    <w:rsid w:val="00753123"/>
    <w:rsid w:val="00753F65"/>
    <w:rsid w:val="00754ECE"/>
    <w:rsid w:val="00756802"/>
    <w:rsid w:val="007569A7"/>
    <w:rsid w:val="00756C39"/>
    <w:rsid w:val="00757F5E"/>
    <w:rsid w:val="00761181"/>
    <w:rsid w:val="007623E5"/>
    <w:rsid w:val="00762819"/>
    <w:rsid w:val="00762FEF"/>
    <w:rsid w:val="0076424B"/>
    <w:rsid w:val="007644D9"/>
    <w:rsid w:val="0076510B"/>
    <w:rsid w:val="00766517"/>
    <w:rsid w:val="00766EA7"/>
    <w:rsid w:val="0077017A"/>
    <w:rsid w:val="00770C1A"/>
    <w:rsid w:val="0077199C"/>
    <w:rsid w:val="007735A5"/>
    <w:rsid w:val="0077362B"/>
    <w:rsid w:val="00775290"/>
    <w:rsid w:val="00776544"/>
    <w:rsid w:val="00776E78"/>
    <w:rsid w:val="007772F4"/>
    <w:rsid w:val="007778C3"/>
    <w:rsid w:val="00780A2B"/>
    <w:rsid w:val="007829DF"/>
    <w:rsid w:val="00782A69"/>
    <w:rsid w:val="00783468"/>
    <w:rsid w:val="007842F4"/>
    <w:rsid w:val="00785536"/>
    <w:rsid w:val="00790156"/>
    <w:rsid w:val="00791F1E"/>
    <w:rsid w:val="007929E2"/>
    <w:rsid w:val="00793CA3"/>
    <w:rsid w:val="00794167"/>
    <w:rsid w:val="0079480F"/>
    <w:rsid w:val="00794A67"/>
    <w:rsid w:val="00796B08"/>
    <w:rsid w:val="00796F35"/>
    <w:rsid w:val="007A0129"/>
    <w:rsid w:val="007A1AAF"/>
    <w:rsid w:val="007A2EC0"/>
    <w:rsid w:val="007A3641"/>
    <w:rsid w:val="007A3796"/>
    <w:rsid w:val="007A7252"/>
    <w:rsid w:val="007A7707"/>
    <w:rsid w:val="007B0CEB"/>
    <w:rsid w:val="007B66D2"/>
    <w:rsid w:val="007C0626"/>
    <w:rsid w:val="007C0990"/>
    <w:rsid w:val="007C1459"/>
    <w:rsid w:val="007C19CD"/>
    <w:rsid w:val="007C2773"/>
    <w:rsid w:val="007C552C"/>
    <w:rsid w:val="007C59FE"/>
    <w:rsid w:val="007C5CB0"/>
    <w:rsid w:val="007C617C"/>
    <w:rsid w:val="007D177C"/>
    <w:rsid w:val="007D2928"/>
    <w:rsid w:val="007D37FC"/>
    <w:rsid w:val="007D3A96"/>
    <w:rsid w:val="007D4CFA"/>
    <w:rsid w:val="007D4FA9"/>
    <w:rsid w:val="007D550C"/>
    <w:rsid w:val="007D6E46"/>
    <w:rsid w:val="007D7651"/>
    <w:rsid w:val="007D7B42"/>
    <w:rsid w:val="007E02DF"/>
    <w:rsid w:val="007E0302"/>
    <w:rsid w:val="007E0914"/>
    <w:rsid w:val="007E1309"/>
    <w:rsid w:val="007E135F"/>
    <w:rsid w:val="007E18E8"/>
    <w:rsid w:val="007E1C6D"/>
    <w:rsid w:val="007E2F5A"/>
    <w:rsid w:val="007E345B"/>
    <w:rsid w:val="007E3F95"/>
    <w:rsid w:val="007E45AB"/>
    <w:rsid w:val="007E4728"/>
    <w:rsid w:val="007E4D9B"/>
    <w:rsid w:val="007E5286"/>
    <w:rsid w:val="007E77DD"/>
    <w:rsid w:val="007F0122"/>
    <w:rsid w:val="007F01E6"/>
    <w:rsid w:val="007F03A7"/>
    <w:rsid w:val="007F058E"/>
    <w:rsid w:val="007F13B7"/>
    <w:rsid w:val="007F2441"/>
    <w:rsid w:val="007F29F2"/>
    <w:rsid w:val="007F2FFD"/>
    <w:rsid w:val="007F391B"/>
    <w:rsid w:val="007F4407"/>
    <w:rsid w:val="007F48A9"/>
    <w:rsid w:val="007F57BB"/>
    <w:rsid w:val="007F7A3C"/>
    <w:rsid w:val="00801CBC"/>
    <w:rsid w:val="008021E4"/>
    <w:rsid w:val="00803781"/>
    <w:rsid w:val="00805C6E"/>
    <w:rsid w:val="008065B7"/>
    <w:rsid w:val="00806D01"/>
    <w:rsid w:val="00807277"/>
    <w:rsid w:val="00810A13"/>
    <w:rsid w:val="00810C6B"/>
    <w:rsid w:val="00810C80"/>
    <w:rsid w:val="00811D1B"/>
    <w:rsid w:val="0081206A"/>
    <w:rsid w:val="0081218F"/>
    <w:rsid w:val="00813EBE"/>
    <w:rsid w:val="00814E56"/>
    <w:rsid w:val="00815149"/>
    <w:rsid w:val="00815436"/>
    <w:rsid w:val="0081583A"/>
    <w:rsid w:val="00816153"/>
    <w:rsid w:val="00816FA7"/>
    <w:rsid w:val="008171AE"/>
    <w:rsid w:val="00817D0C"/>
    <w:rsid w:val="00820382"/>
    <w:rsid w:val="00820E6F"/>
    <w:rsid w:val="0082456A"/>
    <w:rsid w:val="00824D78"/>
    <w:rsid w:val="008261C2"/>
    <w:rsid w:val="00826CA5"/>
    <w:rsid w:val="008277FD"/>
    <w:rsid w:val="0083216F"/>
    <w:rsid w:val="00834D6B"/>
    <w:rsid w:val="00834FDB"/>
    <w:rsid w:val="00836328"/>
    <w:rsid w:val="00837097"/>
    <w:rsid w:val="0083745B"/>
    <w:rsid w:val="0084019A"/>
    <w:rsid w:val="008411C2"/>
    <w:rsid w:val="00842809"/>
    <w:rsid w:val="00845336"/>
    <w:rsid w:val="0085088B"/>
    <w:rsid w:val="008510FE"/>
    <w:rsid w:val="00851D23"/>
    <w:rsid w:val="00851F28"/>
    <w:rsid w:val="00852018"/>
    <w:rsid w:val="0085258E"/>
    <w:rsid w:val="00853F38"/>
    <w:rsid w:val="008552A7"/>
    <w:rsid w:val="00856AE5"/>
    <w:rsid w:val="008574E4"/>
    <w:rsid w:val="00860763"/>
    <w:rsid w:val="00861D7A"/>
    <w:rsid w:val="008620DF"/>
    <w:rsid w:val="00862805"/>
    <w:rsid w:val="00863A28"/>
    <w:rsid w:val="00864155"/>
    <w:rsid w:val="00864631"/>
    <w:rsid w:val="0086488F"/>
    <w:rsid w:val="008657AB"/>
    <w:rsid w:val="0087275F"/>
    <w:rsid w:val="00872868"/>
    <w:rsid w:val="00874305"/>
    <w:rsid w:val="00874CD4"/>
    <w:rsid w:val="008770DC"/>
    <w:rsid w:val="008777E1"/>
    <w:rsid w:val="00880DAB"/>
    <w:rsid w:val="00882DA6"/>
    <w:rsid w:val="0088488E"/>
    <w:rsid w:val="00884F15"/>
    <w:rsid w:val="008850C9"/>
    <w:rsid w:val="00887DEF"/>
    <w:rsid w:val="00890467"/>
    <w:rsid w:val="00890DAB"/>
    <w:rsid w:val="008927EB"/>
    <w:rsid w:val="00895682"/>
    <w:rsid w:val="0089582C"/>
    <w:rsid w:val="00896975"/>
    <w:rsid w:val="00896BB4"/>
    <w:rsid w:val="008A08FC"/>
    <w:rsid w:val="008A10CF"/>
    <w:rsid w:val="008A16C7"/>
    <w:rsid w:val="008A189F"/>
    <w:rsid w:val="008A2710"/>
    <w:rsid w:val="008A31E8"/>
    <w:rsid w:val="008A4B56"/>
    <w:rsid w:val="008A502A"/>
    <w:rsid w:val="008A509D"/>
    <w:rsid w:val="008A6934"/>
    <w:rsid w:val="008A7B2F"/>
    <w:rsid w:val="008B1C3B"/>
    <w:rsid w:val="008B569E"/>
    <w:rsid w:val="008B755E"/>
    <w:rsid w:val="008B7E0F"/>
    <w:rsid w:val="008C0449"/>
    <w:rsid w:val="008C0E40"/>
    <w:rsid w:val="008C1349"/>
    <w:rsid w:val="008C245B"/>
    <w:rsid w:val="008C53F4"/>
    <w:rsid w:val="008C5F72"/>
    <w:rsid w:val="008C635A"/>
    <w:rsid w:val="008C63E5"/>
    <w:rsid w:val="008C70AE"/>
    <w:rsid w:val="008D047D"/>
    <w:rsid w:val="008D07C3"/>
    <w:rsid w:val="008D236F"/>
    <w:rsid w:val="008D27ED"/>
    <w:rsid w:val="008D2E56"/>
    <w:rsid w:val="008D3327"/>
    <w:rsid w:val="008D57D8"/>
    <w:rsid w:val="008E1426"/>
    <w:rsid w:val="008E1D06"/>
    <w:rsid w:val="008E1DC3"/>
    <w:rsid w:val="008E2626"/>
    <w:rsid w:val="008E4791"/>
    <w:rsid w:val="008E50A9"/>
    <w:rsid w:val="008E5219"/>
    <w:rsid w:val="008E75F8"/>
    <w:rsid w:val="008F1D20"/>
    <w:rsid w:val="008F3AF2"/>
    <w:rsid w:val="008F3BD5"/>
    <w:rsid w:val="008F47C8"/>
    <w:rsid w:val="008F62A3"/>
    <w:rsid w:val="008F6825"/>
    <w:rsid w:val="008F7404"/>
    <w:rsid w:val="008F740B"/>
    <w:rsid w:val="009006FF"/>
    <w:rsid w:val="00902EE8"/>
    <w:rsid w:val="00905918"/>
    <w:rsid w:val="0090592C"/>
    <w:rsid w:val="00905BF7"/>
    <w:rsid w:val="009100B2"/>
    <w:rsid w:val="00911DAC"/>
    <w:rsid w:val="009131C1"/>
    <w:rsid w:val="00913377"/>
    <w:rsid w:val="00913F7A"/>
    <w:rsid w:val="00915AC1"/>
    <w:rsid w:val="009162DE"/>
    <w:rsid w:val="00917165"/>
    <w:rsid w:val="00921F3F"/>
    <w:rsid w:val="00923D1B"/>
    <w:rsid w:val="00923EC6"/>
    <w:rsid w:val="009245A6"/>
    <w:rsid w:val="00925ED8"/>
    <w:rsid w:val="00930511"/>
    <w:rsid w:val="00931BD7"/>
    <w:rsid w:val="0093267B"/>
    <w:rsid w:val="00932B21"/>
    <w:rsid w:val="00933499"/>
    <w:rsid w:val="0093529B"/>
    <w:rsid w:val="00935557"/>
    <w:rsid w:val="00936645"/>
    <w:rsid w:val="0093791A"/>
    <w:rsid w:val="009400E8"/>
    <w:rsid w:val="0094389B"/>
    <w:rsid w:val="0094459B"/>
    <w:rsid w:val="0094661A"/>
    <w:rsid w:val="009475E5"/>
    <w:rsid w:val="00947EBA"/>
    <w:rsid w:val="00952570"/>
    <w:rsid w:val="00954148"/>
    <w:rsid w:val="009546F8"/>
    <w:rsid w:val="00955B42"/>
    <w:rsid w:val="00957CBB"/>
    <w:rsid w:val="00957DBB"/>
    <w:rsid w:val="00960A72"/>
    <w:rsid w:val="0096241D"/>
    <w:rsid w:val="009626B1"/>
    <w:rsid w:val="009637FB"/>
    <w:rsid w:val="00965370"/>
    <w:rsid w:val="0096587C"/>
    <w:rsid w:val="00966222"/>
    <w:rsid w:val="0096763F"/>
    <w:rsid w:val="00971390"/>
    <w:rsid w:val="009718B3"/>
    <w:rsid w:val="0097233D"/>
    <w:rsid w:val="009725BB"/>
    <w:rsid w:val="009732F5"/>
    <w:rsid w:val="009742C8"/>
    <w:rsid w:val="009751BC"/>
    <w:rsid w:val="00975576"/>
    <w:rsid w:val="00976AA2"/>
    <w:rsid w:val="009778EC"/>
    <w:rsid w:val="00980AF1"/>
    <w:rsid w:val="00980C90"/>
    <w:rsid w:val="00981CB7"/>
    <w:rsid w:val="00983E51"/>
    <w:rsid w:val="00984037"/>
    <w:rsid w:val="00984810"/>
    <w:rsid w:val="00984915"/>
    <w:rsid w:val="00985731"/>
    <w:rsid w:val="00985F5A"/>
    <w:rsid w:val="009868F2"/>
    <w:rsid w:val="00987AED"/>
    <w:rsid w:val="009903E8"/>
    <w:rsid w:val="00993A19"/>
    <w:rsid w:val="00995459"/>
    <w:rsid w:val="00996068"/>
    <w:rsid w:val="009969BC"/>
    <w:rsid w:val="00996B81"/>
    <w:rsid w:val="009970AA"/>
    <w:rsid w:val="009975AF"/>
    <w:rsid w:val="009977C0"/>
    <w:rsid w:val="00997BC0"/>
    <w:rsid w:val="009A09AE"/>
    <w:rsid w:val="009A31DA"/>
    <w:rsid w:val="009A3397"/>
    <w:rsid w:val="009A5BB8"/>
    <w:rsid w:val="009A7677"/>
    <w:rsid w:val="009B0339"/>
    <w:rsid w:val="009B0344"/>
    <w:rsid w:val="009B35EF"/>
    <w:rsid w:val="009B39A0"/>
    <w:rsid w:val="009B469E"/>
    <w:rsid w:val="009B51CD"/>
    <w:rsid w:val="009B53F2"/>
    <w:rsid w:val="009B65A7"/>
    <w:rsid w:val="009C230B"/>
    <w:rsid w:val="009C26A2"/>
    <w:rsid w:val="009C2DA5"/>
    <w:rsid w:val="009C44E8"/>
    <w:rsid w:val="009C511D"/>
    <w:rsid w:val="009C5BD6"/>
    <w:rsid w:val="009C6324"/>
    <w:rsid w:val="009D067B"/>
    <w:rsid w:val="009D2B5D"/>
    <w:rsid w:val="009D37FD"/>
    <w:rsid w:val="009D3D50"/>
    <w:rsid w:val="009D74A6"/>
    <w:rsid w:val="009E18AF"/>
    <w:rsid w:val="009E52F9"/>
    <w:rsid w:val="009E5C35"/>
    <w:rsid w:val="009E6D27"/>
    <w:rsid w:val="009E778D"/>
    <w:rsid w:val="009E7E45"/>
    <w:rsid w:val="009F035B"/>
    <w:rsid w:val="009F1DF1"/>
    <w:rsid w:val="009F20BC"/>
    <w:rsid w:val="009F789A"/>
    <w:rsid w:val="00A0038E"/>
    <w:rsid w:val="00A014D3"/>
    <w:rsid w:val="00A01845"/>
    <w:rsid w:val="00A01C30"/>
    <w:rsid w:val="00A038D6"/>
    <w:rsid w:val="00A05CD3"/>
    <w:rsid w:val="00A07408"/>
    <w:rsid w:val="00A07432"/>
    <w:rsid w:val="00A1036B"/>
    <w:rsid w:val="00A12936"/>
    <w:rsid w:val="00A144D6"/>
    <w:rsid w:val="00A155E7"/>
    <w:rsid w:val="00A15645"/>
    <w:rsid w:val="00A160B3"/>
    <w:rsid w:val="00A172C7"/>
    <w:rsid w:val="00A2070F"/>
    <w:rsid w:val="00A21259"/>
    <w:rsid w:val="00A21FFF"/>
    <w:rsid w:val="00A232BE"/>
    <w:rsid w:val="00A233AB"/>
    <w:rsid w:val="00A23C93"/>
    <w:rsid w:val="00A24350"/>
    <w:rsid w:val="00A24AE0"/>
    <w:rsid w:val="00A27335"/>
    <w:rsid w:val="00A30329"/>
    <w:rsid w:val="00A30356"/>
    <w:rsid w:val="00A32C0E"/>
    <w:rsid w:val="00A36793"/>
    <w:rsid w:val="00A37D19"/>
    <w:rsid w:val="00A40991"/>
    <w:rsid w:val="00A40BC9"/>
    <w:rsid w:val="00A411F7"/>
    <w:rsid w:val="00A41BFA"/>
    <w:rsid w:val="00A42936"/>
    <w:rsid w:val="00A43FE9"/>
    <w:rsid w:val="00A454AB"/>
    <w:rsid w:val="00A45ACC"/>
    <w:rsid w:val="00A45FFF"/>
    <w:rsid w:val="00A473AE"/>
    <w:rsid w:val="00A50E93"/>
    <w:rsid w:val="00A50F05"/>
    <w:rsid w:val="00A55010"/>
    <w:rsid w:val="00A61C23"/>
    <w:rsid w:val="00A620D9"/>
    <w:rsid w:val="00A62F1B"/>
    <w:rsid w:val="00A640A5"/>
    <w:rsid w:val="00A644DD"/>
    <w:rsid w:val="00A64E00"/>
    <w:rsid w:val="00A6591D"/>
    <w:rsid w:val="00A71230"/>
    <w:rsid w:val="00A71DAA"/>
    <w:rsid w:val="00A72BB2"/>
    <w:rsid w:val="00A72CFD"/>
    <w:rsid w:val="00A74694"/>
    <w:rsid w:val="00A74C70"/>
    <w:rsid w:val="00A75280"/>
    <w:rsid w:val="00A75551"/>
    <w:rsid w:val="00A766E2"/>
    <w:rsid w:val="00A8135D"/>
    <w:rsid w:val="00A8140E"/>
    <w:rsid w:val="00A81B1C"/>
    <w:rsid w:val="00A82E05"/>
    <w:rsid w:val="00A834AC"/>
    <w:rsid w:val="00A83754"/>
    <w:rsid w:val="00A8510A"/>
    <w:rsid w:val="00A86230"/>
    <w:rsid w:val="00A86354"/>
    <w:rsid w:val="00A87CC5"/>
    <w:rsid w:val="00A91C6C"/>
    <w:rsid w:val="00A9258D"/>
    <w:rsid w:val="00A92B41"/>
    <w:rsid w:val="00A9547B"/>
    <w:rsid w:val="00A95853"/>
    <w:rsid w:val="00A96726"/>
    <w:rsid w:val="00A96913"/>
    <w:rsid w:val="00A97F88"/>
    <w:rsid w:val="00AA02B8"/>
    <w:rsid w:val="00AA1107"/>
    <w:rsid w:val="00AA1BEB"/>
    <w:rsid w:val="00AA2919"/>
    <w:rsid w:val="00AA2F50"/>
    <w:rsid w:val="00AA32EB"/>
    <w:rsid w:val="00AA33F3"/>
    <w:rsid w:val="00AA3B71"/>
    <w:rsid w:val="00AB1C7D"/>
    <w:rsid w:val="00AB2B5F"/>
    <w:rsid w:val="00AB3024"/>
    <w:rsid w:val="00AB30C5"/>
    <w:rsid w:val="00AB3D57"/>
    <w:rsid w:val="00AB3D83"/>
    <w:rsid w:val="00AB5110"/>
    <w:rsid w:val="00AB6F75"/>
    <w:rsid w:val="00AB7634"/>
    <w:rsid w:val="00AC1766"/>
    <w:rsid w:val="00AC190C"/>
    <w:rsid w:val="00AC2B37"/>
    <w:rsid w:val="00AC424F"/>
    <w:rsid w:val="00AC5ABA"/>
    <w:rsid w:val="00AC75AC"/>
    <w:rsid w:val="00AC7602"/>
    <w:rsid w:val="00AC799B"/>
    <w:rsid w:val="00AD28FD"/>
    <w:rsid w:val="00AD2D12"/>
    <w:rsid w:val="00AD314E"/>
    <w:rsid w:val="00AD3976"/>
    <w:rsid w:val="00AD40E6"/>
    <w:rsid w:val="00AD4BAD"/>
    <w:rsid w:val="00AD5633"/>
    <w:rsid w:val="00AD56A4"/>
    <w:rsid w:val="00AD57C5"/>
    <w:rsid w:val="00AD5E09"/>
    <w:rsid w:val="00AD76F9"/>
    <w:rsid w:val="00AD7B2A"/>
    <w:rsid w:val="00AE08BA"/>
    <w:rsid w:val="00AE0B04"/>
    <w:rsid w:val="00AE1131"/>
    <w:rsid w:val="00AE1FC3"/>
    <w:rsid w:val="00AE30A9"/>
    <w:rsid w:val="00AE3A80"/>
    <w:rsid w:val="00AE439A"/>
    <w:rsid w:val="00AE4A1A"/>
    <w:rsid w:val="00AE69F4"/>
    <w:rsid w:val="00AF1AD5"/>
    <w:rsid w:val="00AF3E95"/>
    <w:rsid w:val="00AF4B73"/>
    <w:rsid w:val="00AF572C"/>
    <w:rsid w:val="00AF580B"/>
    <w:rsid w:val="00AF683C"/>
    <w:rsid w:val="00AF76F8"/>
    <w:rsid w:val="00B0007F"/>
    <w:rsid w:val="00B010B5"/>
    <w:rsid w:val="00B01ABD"/>
    <w:rsid w:val="00B01D47"/>
    <w:rsid w:val="00B02B91"/>
    <w:rsid w:val="00B03013"/>
    <w:rsid w:val="00B0472B"/>
    <w:rsid w:val="00B06B2C"/>
    <w:rsid w:val="00B0777C"/>
    <w:rsid w:val="00B07B7B"/>
    <w:rsid w:val="00B07DB1"/>
    <w:rsid w:val="00B156CE"/>
    <w:rsid w:val="00B15D97"/>
    <w:rsid w:val="00B16C10"/>
    <w:rsid w:val="00B179EE"/>
    <w:rsid w:val="00B20032"/>
    <w:rsid w:val="00B254DD"/>
    <w:rsid w:val="00B25C10"/>
    <w:rsid w:val="00B30BF1"/>
    <w:rsid w:val="00B30F94"/>
    <w:rsid w:val="00B31060"/>
    <w:rsid w:val="00B31359"/>
    <w:rsid w:val="00B336E1"/>
    <w:rsid w:val="00B33704"/>
    <w:rsid w:val="00B3437E"/>
    <w:rsid w:val="00B35C9C"/>
    <w:rsid w:val="00B366E8"/>
    <w:rsid w:val="00B36BA4"/>
    <w:rsid w:val="00B40EBE"/>
    <w:rsid w:val="00B41B58"/>
    <w:rsid w:val="00B42EDE"/>
    <w:rsid w:val="00B44241"/>
    <w:rsid w:val="00B44DD9"/>
    <w:rsid w:val="00B45AB0"/>
    <w:rsid w:val="00B45D4C"/>
    <w:rsid w:val="00B46AEB"/>
    <w:rsid w:val="00B46C72"/>
    <w:rsid w:val="00B47C1A"/>
    <w:rsid w:val="00B51479"/>
    <w:rsid w:val="00B53102"/>
    <w:rsid w:val="00B55199"/>
    <w:rsid w:val="00B56A4D"/>
    <w:rsid w:val="00B57FD1"/>
    <w:rsid w:val="00B600EE"/>
    <w:rsid w:val="00B60284"/>
    <w:rsid w:val="00B616B0"/>
    <w:rsid w:val="00B62278"/>
    <w:rsid w:val="00B639BA"/>
    <w:rsid w:val="00B64F12"/>
    <w:rsid w:val="00B65293"/>
    <w:rsid w:val="00B652D3"/>
    <w:rsid w:val="00B662BD"/>
    <w:rsid w:val="00B67B28"/>
    <w:rsid w:val="00B71E6F"/>
    <w:rsid w:val="00B71FF4"/>
    <w:rsid w:val="00B7473B"/>
    <w:rsid w:val="00B74AA4"/>
    <w:rsid w:val="00B76B84"/>
    <w:rsid w:val="00B7750B"/>
    <w:rsid w:val="00B7776D"/>
    <w:rsid w:val="00B803CB"/>
    <w:rsid w:val="00B811AC"/>
    <w:rsid w:val="00B83114"/>
    <w:rsid w:val="00B85C31"/>
    <w:rsid w:val="00B8613D"/>
    <w:rsid w:val="00B86BD7"/>
    <w:rsid w:val="00B86DA8"/>
    <w:rsid w:val="00B870A3"/>
    <w:rsid w:val="00B874F4"/>
    <w:rsid w:val="00B87787"/>
    <w:rsid w:val="00B953F9"/>
    <w:rsid w:val="00B95AEA"/>
    <w:rsid w:val="00B96F60"/>
    <w:rsid w:val="00BA07A3"/>
    <w:rsid w:val="00BA1024"/>
    <w:rsid w:val="00BA1912"/>
    <w:rsid w:val="00BA1CB1"/>
    <w:rsid w:val="00BA23F7"/>
    <w:rsid w:val="00BA5BE2"/>
    <w:rsid w:val="00BA5D3D"/>
    <w:rsid w:val="00BA7A43"/>
    <w:rsid w:val="00BA7CA4"/>
    <w:rsid w:val="00BB01B2"/>
    <w:rsid w:val="00BB01B8"/>
    <w:rsid w:val="00BB0D47"/>
    <w:rsid w:val="00BB0E21"/>
    <w:rsid w:val="00BB1265"/>
    <w:rsid w:val="00BB1647"/>
    <w:rsid w:val="00BB1EF0"/>
    <w:rsid w:val="00BB22D9"/>
    <w:rsid w:val="00BB2A28"/>
    <w:rsid w:val="00BB2F31"/>
    <w:rsid w:val="00BB38F9"/>
    <w:rsid w:val="00BB4927"/>
    <w:rsid w:val="00BB4BBE"/>
    <w:rsid w:val="00BB52D3"/>
    <w:rsid w:val="00BB6690"/>
    <w:rsid w:val="00BC116A"/>
    <w:rsid w:val="00BC1950"/>
    <w:rsid w:val="00BC2610"/>
    <w:rsid w:val="00BC2EB3"/>
    <w:rsid w:val="00BC4332"/>
    <w:rsid w:val="00BC6CA0"/>
    <w:rsid w:val="00BC6D2D"/>
    <w:rsid w:val="00BC7DE0"/>
    <w:rsid w:val="00BD1D07"/>
    <w:rsid w:val="00BD1E25"/>
    <w:rsid w:val="00BD2759"/>
    <w:rsid w:val="00BD376E"/>
    <w:rsid w:val="00BE0B07"/>
    <w:rsid w:val="00BE3645"/>
    <w:rsid w:val="00BE36A9"/>
    <w:rsid w:val="00BE4539"/>
    <w:rsid w:val="00BE4666"/>
    <w:rsid w:val="00BE658C"/>
    <w:rsid w:val="00BE6B8D"/>
    <w:rsid w:val="00BE6DA1"/>
    <w:rsid w:val="00BE70FF"/>
    <w:rsid w:val="00BE7A31"/>
    <w:rsid w:val="00BE7FDD"/>
    <w:rsid w:val="00BF029B"/>
    <w:rsid w:val="00BF073C"/>
    <w:rsid w:val="00BF0CDB"/>
    <w:rsid w:val="00BF0CF6"/>
    <w:rsid w:val="00BF1880"/>
    <w:rsid w:val="00BF1F47"/>
    <w:rsid w:val="00BF238B"/>
    <w:rsid w:val="00BF4DC4"/>
    <w:rsid w:val="00BF5C9E"/>
    <w:rsid w:val="00BF5EA3"/>
    <w:rsid w:val="00BF764F"/>
    <w:rsid w:val="00BF7A44"/>
    <w:rsid w:val="00BF7AE8"/>
    <w:rsid w:val="00C00364"/>
    <w:rsid w:val="00C02412"/>
    <w:rsid w:val="00C02540"/>
    <w:rsid w:val="00C02C07"/>
    <w:rsid w:val="00C03557"/>
    <w:rsid w:val="00C04C95"/>
    <w:rsid w:val="00C05681"/>
    <w:rsid w:val="00C0640D"/>
    <w:rsid w:val="00C07651"/>
    <w:rsid w:val="00C076F3"/>
    <w:rsid w:val="00C07B18"/>
    <w:rsid w:val="00C104F2"/>
    <w:rsid w:val="00C11877"/>
    <w:rsid w:val="00C11ECC"/>
    <w:rsid w:val="00C120D1"/>
    <w:rsid w:val="00C127CC"/>
    <w:rsid w:val="00C1447C"/>
    <w:rsid w:val="00C146D0"/>
    <w:rsid w:val="00C14CF0"/>
    <w:rsid w:val="00C14F61"/>
    <w:rsid w:val="00C1756D"/>
    <w:rsid w:val="00C2259D"/>
    <w:rsid w:val="00C2287E"/>
    <w:rsid w:val="00C22A0C"/>
    <w:rsid w:val="00C23103"/>
    <w:rsid w:val="00C23336"/>
    <w:rsid w:val="00C23CEC"/>
    <w:rsid w:val="00C23F8C"/>
    <w:rsid w:val="00C2421E"/>
    <w:rsid w:val="00C24811"/>
    <w:rsid w:val="00C26F55"/>
    <w:rsid w:val="00C26FB7"/>
    <w:rsid w:val="00C3036D"/>
    <w:rsid w:val="00C3091A"/>
    <w:rsid w:val="00C32C2B"/>
    <w:rsid w:val="00C32FEA"/>
    <w:rsid w:val="00C33C8C"/>
    <w:rsid w:val="00C354B3"/>
    <w:rsid w:val="00C3578D"/>
    <w:rsid w:val="00C37E9D"/>
    <w:rsid w:val="00C40AF3"/>
    <w:rsid w:val="00C41C17"/>
    <w:rsid w:val="00C42ED3"/>
    <w:rsid w:val="00C42EFE"/>
    <w:rsid w:val="00C436A5"/>
    <w:rsid w:val="00C438C0"/>
    <w:rsid w:val="00C45B53"/>
    <w:rsid w:val="00C50472"/>
    <w:rsid w:val="00C51397"/>
    <w:rsid w:val="00C51637"/>
    <w:rsid w:val="00C51BE0"/>
    <w:rsid w:val="00C51EFD"/>
    <w:rsid w:val="00C528F5"/>
    <w:rsid w:val="00C55694"/>
    <w:rsid w:val="00C55A6C"/>
    <w:rsid w:val="00C56C68"/>
    <w:rsid w:val="00C578D1"/>
    <w:rsid w:val="00C57B96"/>
    <w:rsid w:val="00C60A05"/>
    <w:rsid w:val="00C62B83"/>
    <w:rsid w:val="00C62E96"/>
    <w:rsid w:val="00C6550B"/>
    <w:rsid w:val="00C65FDE"/>
    <w:rsid w:val="00C67060"/>
    <w:rsid w:val="00C67FC1"/>
    <w:rsid w:val="00C7056F"/>
    <w:rsid w:val="00C74332"/>
    <w:rsid w:val="00C75BD4"/>
    <w:rsid w:val="00C800FC"/>
    <w:rsid w:val="00C805D7"/>
    <w:rsid w:val="00C82379"/>
    <w:rsid w:val="00C82A46"/>
    <w:rsid w:val="00C82C4C"/>
    <w:rsid w:val="00C82F33"/>
    <w:rsid w:val="00C835D6"/>
    <w:rsid w:val="00C84345"/>
    <w:rsid w:val="00C846A1"/>
    <w:rsid w:val="00C84DBD"/>
    <w:rsid w:val="00C87538"/>
    <w:rsid w:val="00C87D46"/>
    <w:rsid w:val="00C90902"/>
    <w:rsid w:val="00C90BB4"/>
    <w:rsid w:val="00C912BE"/>
    <w:rsid w:val="00C91419"/>
    <w:rsid w:val="00C916F4"/>
    <w:rsid w:val="00C937E6"/>
    <w:rsid w:val="00C937F1"/>
    <w:rsid w:val="00C9510D"/>
    <w:rsid w:val="00CA3413"/>
    <w:rsid w:val="00CA3B05"/>
    <w:rsid w:val="00CA5711"/>
    <w:rsid w:val="00CA7469"/>
    <w:rsid w:val="00CA7C4B"/>
    <w:rsid w:val="00CB00E9"/>
    <w:rsid w:val="00CB2814"/>
    <w:rsid w:val="00CB547E"/>
    <w:rsid w:val="00CB55EB"/>
    <w:rsid w:val="00CB57DA"/>
    <w:rsid w:val="00CB71C3"/>
    <w:rsid w:val="00CB7EDB"/>
    <w:rsid w:val="00CC01FD"/>
    <w:rsid w:val="00CC17B1"/>
    <w:rsid w:val="00CC2082"/>
    <w:rsid w:val="00CC3273"/>
    <w:rsid w:val="00CC4946"/>
    <w:rsid w:val="00CC5747"/>
    <w:rsid w:val="00CC6B70"/>
    <w:rsid w:val="00CD2ADC"/>
    <w:rsid w:val="00CD2B21"/>
    <w:rsid w:val="00CD2B63"/>
    <w:rsid w:val="00CD517B"/>
    <w:rsid w:val="00CD70EE"/>
    <w:rsid w:val="00CE39BB"/>
    <w:rsid w:val="00CE3AC9"/>
    <w:rsid w:val="00CE4E05"/>
    <w:rsid w:val="00CE4F24"/>
    <w:rsid w:val="00CE61F2"/>
    <w:rsid w:val="00CE64E0"/>
    <w:rsid w:val="00CF08CA"/>
    <w:rsid w:val="00CF0C6F"/>
    <w:rsid w:val="00CF0F7F"/>
    <w:rsid w:val="00CF0FC6"/>
    <w:rsid w:val="00CF2DD3"/>
    <w:rsid w:val="00CF6126"/>
    <w:rsid w:val="00CF66D7"/>
    <w:rsid w:val="00CF6740"/>
    <w:rsid w:val="00CF6B67"/>
    <w:rsid w:val="00CF7F08"/>
    <w:rsid w:val="00D00383"/>
    <w:rsid w:val="00D019DA"/>
    <w:rsid w:val="00D01C3C"/>
    <w:rsid w:val="00D02674"/>
    <w:rsid w:val="00D02A74"/>
    <w:rsid w:val="00D02C5C"/>
    <w:rsid w:val="00D03C3C"/>
    <w:rsid w:val="00D05159"/>
    <w:rsid w:val="00D05FA5"/>
    <w:rsid w:val="00D062CF"/>
    <w:rsid w:val="00D063F2"/>
    <w:rsid w:val="00D06C71"/>
    <w:rsid w:val="00D07C76"/>
    <w:rsid w:val="00D07E00"/>
    <w:rsid w:val="00D103CD"/>
    <w:rsid w:val="00D116F1"/>
    <w:rsid w:val="00D13EF9"/>
    <w:rsid w:val="00D14385"/>
    <w:rsid w:val="00D14C6F"/>
    <w:rsid w:val="00D14E1B"/>
    <w:rsid w:val="00D14ECE"/>
    <w:rsid w:val="00D1644F"/>
    <w:rsid w:val="00D16B1D"/>
    <w:rsid w:val="00D16DD9"/>
    <w:rsid w:val="00D20BDD"/>
    <w:rsid w:val="00D21075"/>
    <w:rsid w:val="00D23E54"/>
    <w:rsid w:val="00D24E19"/>
    <w:rsid w:val="00D27651"/>
    <w:rsid w:val="00D27A2D"/>
    <w:rsid w:val="00D30993"/>
    <w:rsid w:val="00D3105B"/>
    <w:rsid w:val="00D3225F"/>
    <w:rsid w:val="00D32DFB"/>
    <w:rsid w:val="00D344E7"/>
    <w:rsid w:val="00D34E0B"/>
    <w:rsid w:val="00D359C2"/>
    <w:rsid w:val="00D35C6B"/>
    <w:rsid w:val="00D3608B"/>
    <w:rsid w:val="00D37019"/>
    <w:rsid w:val="00D37E46"/>
    <w:rsid w:val="00D41572"/>
    <w:rsid w:val="00D41AC0"/>
    <w:rsid w:val="00D444E8"/>
    <w:rsid w:val="00D4462A"/>
    <w:rsid w:val="00D44864"/>
    <w:rsid w:val="00D44B62"/>
    <w:rsid w:val="00D45CED"/>
    <w:rsid w:val="00D45FD9"/>
    <w:rsid w:val="00D467F1"/>
    <w:rsid w:val="00D4682B"/>
    <w:rsid w:val="00D46C87"/>
    <w:rsid w:val="00D53469"/>
    <w:rsid w:val="00D5493F"/>
    <w:rsid w:val="00D549B8"/>
    <w:rsid w:val="00D55B54"/>
    <w:rsid w:val="00D55BB5"/>
    <w:rsid w:val="00D57A92"/>
    <w:rsid w:val="00D57E52"/>
    <w:rsid w:val="00D60DA0"/>
    <w:rsid w:val="00D61CD0"/>
    <w:rsid w:val="00D62866"/>
    <w:rsid w:val="00D638F8"/>
    <w:rsid w:val="00D67163"/>
    <w:rsid w:val="00D67337"/>
    <w:rsid w:val="00D7003C"/>
    <w:rsid w:val="00D706F8"/>
    <w:rsid w:val="00D711C4"/>
    <w:rsid w:val="00D71288"/>
    <w:rsid w:val="00D7152F"/>
    <w:rsid w:val="00D74632"/>
    <w:rsid w:val="00D7463C"/>
    <w:rsid w:val="00D74732"/>
    <w:rsid w:val="00D75285"/>
    <w:rsid w:val="00D75555"/>
    <w:rsid w:val="00D76966"/>
    <w:rsid w:val="00D76A67"/>
    <w:rsid w:val="00D778FE"/>
    <w:rsid w:val="00D8113A"/>
    <w:rsid w:val="00D81380"/>
    <w:rsid w:val="00D8375B"/>
    <w:rsid w:val="00D844E3"/>
    <w:rsid w:val="00D8517B"/>
    <w:rsid w:val="00D8706F"/>
    <w:rsid w:val="00D9272C"/>
    <w:rsid w:val="00D92812"/>
    <w:rsid w:val="00D92977"/>
    <w:rsid w:val="00D92D45"/>
    <w:rsid w:val="00D93160"/>
    <w:rsid w:val="00D9369E"/>
    <w:rsid w:val="00D936B9"/>
    <w:rsid w:val="00D96D56"/>
    <w:rsid w:val="00D97047"/>
    <w:rsid w:val="00DA04C7"/>
    <w:rsid w:val="00DA1939"/>
    <w:rsid w:val="00DA250B"/>
    <w:rsid w:val="00DA319F"/>
    <w:rsid w:val="00DA3AB4"/>
    <w:rsid w:val="00DA40E2"/>
    <w:rsid w:val="00DA4BC0"/>
    <w:rsid w:val="00DA57FB"/>
    <w:rsid w:val="00DA7BC2"/>
    <w:rsid w:val="00DB03FA"/>
    <w:rsid w:val="00DB1E80"/>
    <w:rsid w:val="00DB21A5"/>
    <w:rsid w:val="00DB343C"/>
    <w:rsid w:val="00DB374A"/>
    <w:rsid w:val="00DB3BCF"/>
    <w:rsid w:val="00DB4777"/>
    <w:rsid w:val="00DB66E3"/>
    <w:rsid w:val="00DC1616"/>
    <w:rsid w:val="00DC29BA"/>
    <w:rsid w:val="00DC34E9"/>
    <w:rsid w:val="00DC78D7"/>
    <w:rsid w:val="00DD049D"/>
    <w:rsid w:val="00DD0B3C"/>
    <w:rsid w:val="00DD1FC3"/>
    <w:rsid w:val="00DD2EDA"/>
    <w:rsid w:val="00DD33C7"/>
    <w:rsid w:val="00DD3C63"/>
    <w:rsid w:val="00DD75B5"/>
    <w:rsid w:val="00DE1545"/>
    <w:rsid w:val="00DE2CAA"/>
    <w:rsid w:val="00DE5913"/>
    <w:rsid w:val="00DE6123"/>
    <w:rsid w:val="00DF015C"/>
    <w:rsid w:val="00DF05FB"/>
    <w:rsid w:val="00DF1465"/>
    <w:rsid w:val="00DF3DD2"/>
    <w:rsid w:val="00DF549B"/>
    <w:rsid w:val="00DF5897"/>
    <w:rsid w:val="00DF64B2"/>
    <w:rsid w:val="00DF70AF"/>
    <w:rsid w:val="00E022C5"/>
    <w:rsid w:val="00E04F76"/>
    <w:rsid w:val="00E05149"/>
    <w:rsid w:val="00E1165C"/>
    <w:rsid w:val="00E13A36"/>
    <w:rsid w:val="00E147DE"/>
    <w:rsid w:val="00E166E3"/>
    <w:rsid w:val="00E17678"/>
    <w:rsid w:val="00E204EA"/>
    <w:rsid w:val="00E2087A"/>
    <w:rsid w:val="00E20894"/>
    <w:rsid w:val="00E20CA9"/>
    <w:rsid w:val="00E23E2B"/>
    <w:rsid w:val="00E24C9E"/>
    <w:rsid w:val="00E25ADA"/>
    <w:rsid w:val="00E25B2C"/>
    <w:rsid w:val="00E2698B"/>
    <w:rsid w:val="00E26F93"/>
    <w:rsid w:val="00E30ACF"/>
    <w:rsid w:val="00E31266"/>
    <w:rsid w:val="00E3574D"/>
    <w:rsid w:val="00E40B2D"/>
    <w:rsid w:val="00E40BD3"/>
    <w:rsid w:val="00E4163B"/>
    <w:rsid w:val="00E41A24"/>
    <w:rsid w:val="00E421BF"/>
    <w:rsid w:val="00E4287B"/>
    <w:rsid w:val="00E4302B"/>
    <w:rsid w:val="00E4787B"/>
    <w:rsid w:val="00E47B5A"/>
    <w:rsid w:val="00E51D60"/>
    <w:rsid w:val="00E5223E"/>
    <w:rsid w:val="00E5247F"/>
    <w:rsid w:val="00E5261E"/>
    <w:rsid w:val="00E52BB4"/>
    <w:rsid w:val="00E52C4B"/>
    <w:rsid w:val="00E53BCB"/>
    <w:rsid w:val="00E54849"/>
    <w:rsid w:val="00E5578D"/>
    <w:rsid w:val="00E5659A"/>
    <w:rsid w:val="00E57208"/>
    <w:rsid w:val="00E60C93"/>
    <w:rsid w:val="00E61CEB"/>
    <w:rsid w:val="00E638C9"/>
    <w:rsid w:val="00E647EA"/>
    <w:rsid w:val="00E653E7"/>
    <w:rsid w:val="00E67056"/>
    <w:rsid w:val="00E70997"/>
    <w:rsid w:val="00E71020"/>
    <w:rsid w:val="00E7215F"/>
    <w:rsid w:val="00E73A86"/>
    <w:rsid w:val="00E73DD6"/>
    <w:rsid w:val="00E74AF7"/>
    <w:rsid w:val="00E775E9"/>
    <w:rsid w:val="00E776C2"/>
    <w:rsid w:val="00E80742"/>
    <w:rsid w:val="00E811CC"/>
    <w:rsid w:val="00E81724"/>
    <w:rsid w:val="00E81A76"/>
    <w:rsid w:val="00E81B32"/>
    <w:rsid w:val="00E84BDC"/>
    <w:rsid w:val="00E8521A"/>
    <w:rsid w:val="00E867CC"/>
    <w:rsid w:val="00E87865"/>
    <w:rsid w:val="00E87CEB"/>
    <w:rsid w:val="00E90B5F"/>
    <w:rsid w:val="00E93FC0"/>
    <w:rsid w:val="00E95A13"/>
    <w:rsid w:val="00E97468"/>
    <w:rsid w:val="00EA113B"/>
    <w:rsid w:val="00EA3B28"/>
    <w:rsid w:val="00EA3BD2"/>
    <w:rsid w:val="00EA48E0"/>
    <w:rsid w:val="00EA5708"/>
    <w:rsid w:val="00EA5D7F"/>
    <w:rsid w:val="00EA7111"/>
    <w:rsid w:val="00EA7892"/>
    <w:rsid w:val="00EB028F"/>
    <w:rsid w:val="00EB0302"/>
    <w:rsid w:val="00EB0C54"/>
    <w:rsid w:val="00EB11F4"/>
    <w:rsid w:val="00EB12F3"/>
    <w:rsid w:val="00EB1563"/>
    <w:rsid w:val="00EB1D8C"/>
    <w:rsid w:val="00EB2568"/>
    <w:rsid w:val="00EB4C93"/>
    <w:rsid w:val="00EB5B77"/>
    <w:rsid w:val="00EB6B68"/>
    <w:rsid w:val="00EB746B"/>
    <w:rsid w:val="00EC0E80"/>
    <w:rsid w:val="00EC110D"/>
    <w:rsid w:val="00EC18FC"/>
    <w:rsid w:val="00EC1A64"/>
    <w:rsid w:val="00EC4256"/>
    <w:rsid w:val="00EC4DE3"/>
    <w:rsid w:val="00EC53E0"/>
    <w:rsid w:val="00EC5994"/>
    <w:rsid w:val="00EC5A15"/>
    <w:rsid w:val="00EC6DE3"/>
    <w:rsid w:val="00ED0B4A"/>
    <w:rsid w:val="00ED2059"/>
    <w:rsid w:val="00ED41B6"/>
    <w:rsid w:val="00ED5DA6"/>
    <w:rsid w:val="00EE0BB2"/>
    <w:rsid w:val="00EE0E75"/>
    <w:rsid w:val="00EE18EF"/>
    <w:rsid w:val="00EE370B"/>
    <w:rsid w:val="00EE45AB"/>
    <w:rsid w:val="00EE5CC7"/>
    <w:rsid w:val="00EE679E"/>
    <w:rsid w:val="00EE6D9D"/>
    <w:rsid w:val="00EE7DB2"/>
    <w:rsid w:val="00EF05CB"/>
    <w:rsid w:val="00EF0D25"/>
    <w:rsid w:val="00EF1AA9"/>
    <w:rsid w:val="00EF294E"/>
    <w:rsid w:val="00EF325D"/>
    <w:rsid w:val="00EF5153"/>
    <w:rsid w:val="00EF6139"/>
    <w:rsid w:val="00EF79F5"/>
    <w:rsid w:val="00F038A1"/>
    <w:rsid w:val="00F03BC3"/>
    <w:rsid w:val="00F04036"/>
    <w:rsid w:val="00F041EC"/>
    <w:rsid w:val="00F10E43"/>
    <w:rsid w:val="00F11B0B"/>
    <w:rsid w:val="00F11F5B"/>
    <w:rsid w:val="00F1215F"/>
    <w:rsid w:val="00F13B08"/>
    <w:rsid w:val="00F149CE"/>
    <w:rsid w:val="00F14DF3"/>
    <w:rsid w:val="00F16053"/>
    <w:rsid w:val="00F163D7"/>
    <w:rsid w:val="00F20B13"/>
    <w:rsid w:val="00F21C17"/>
    <w:rsid w:val="00F24297"/>
    <w:rsid w:val="00F2484D"/>
    <w:rsid w:val="00F30578"/>
    <w:rsid w:val="00F31FFC"/>
    <w:rsid w:val="00F33064"/>
    <w:rsid w:val="00F33DCC"/>
    <w:rsid w:val="00F368A4"/>
    <w:rsid w:val="00F37473"/>
    <w:rsid w:val="00F40140"/>
    <w:rsid w:val="00F40897"/>
    <w:rsid w:val="00F41B1A"/>
    <w:rsid w:val="00F430CA"/>
    <w:rsid w:val="00F443B2"/>
    <w:rsid w:val="00F4644C"/>
    <w:rsid w:val="00F46CEB"/>
    <w:rsid w:val="00F47065"/>
    <w:rsid w:val="00F50843"/>
    <w:rsid w:val="00F50ABD"/>
    <w:rsid w:val="00F50EA1"/>
    <w:rsid w:val="00F51065"/>
    <w:rsid w:val="00F540A9"/>
    <w:rsid w:val="00F54254"/>
    <w:rsid w:val="00F5474D"/>
    <w:rsid w:val="00F552A9"/>
    <w:rsid w:val="00F55BCA"/>
    <w:rsid w:val="00F56CFC"/>
    <w:rsid w:val="00F576FC"/>
    <w:rsid w:val="00F57D52"/>
    <w:rsid w:val="00F6120A"/>
    <w:rsid w:val="00F61373"/>
    <w:rsid w:val="00F61BBA"/>
    <w:rsid w:val="00F61BE3"/>
    <w:rsid w:val="00F61E29"/>
    <w:rsid w:val="00F626E5"/>
    <w:rsid w:val="00F644A8"/>
    <w:rsid w:val="00F64505"/>
    <w:rsid w:val="00F64E79"/>
    <w:rsid w:val="00F67C51"/>
    <w:rsid w:val="00F703CB"/>
    <w:rsid w:val="00F7186E"/>
    <w:rsid w:val="00F72744"/>
    <w:rsid w:val="00F7412C"/>
    <w:rsid w:val="00F74CF3"/>
    <w:rsid w:val="00F75438"/>
    <w:rsid w:val="00F756F6"/>
    <w:rsid w:val="00F771ED"/>
    <w:rsid w:val="00F77329"/>
    <w:rsid w:val="00F80613"/>
    <w:rsid w:val="00F81641"/>
    <w:rsid w:val="00F81A7D"/>
    <w:rsid w:val="00F81B15"/>
    <w:rsid w:val="00F83EA3"/>
    <w:rsid w:val="00F83EA8"/>
    <w:rsid w:val="00F83F74"/>
    <w:rsid w:val="00F87E19"/>
    <w:rsid w:val="00F87F1C"/>
    <w:rsid w:val="00F907C4"/>
    <w:rsid w:val="00F90D6C"/>
    <w:rsid w:val="00F91EE3"/>
    <w:rsid w:val="00F91FAF"/>
    <w:rsid w:val="00F9334E"/>
    <w:rsid w:val="00F95C19"/>
    <w:rsid w:val="00F96036"/>
    <w:rsid w:val="00FA30C8"/>
    <w:rsid w:val="00FA3522"/>
    <w:rsid w:val="00FA5B92"/>
    <w:rsid w:val="00FA5E87"/>
    <w:rsid w:val="00FA6629"/>
    <w:rsid w:val="00FA782F"/>
    <w:rsid w:val="00FB19E9"/>
    <w:rsid w:val="00FB373E"/>
    <w:rsid w:val="00FB37A9"/>
    <w:rsid w:val="00FB3B1F"/>
    <w:rsid w:val="00FB3C5A"/>
    <w:rsid w:val="00FB3D46"/>
    <w:rsid w:val="00FB450A"/>
    <w:rsid w:val="00FB497C"/>
    <w:rsid w:val="00FB5391"/>
    <w:rsid w:val="00FB5933"/>
    <w:rsid w:val="00FB5DAF"/>
    <w:rsid w:val="00FB64BF"/>
    <w:rsid w:val="00FC0512"/>
    <w:rsid w:val="00FC12E4"/>
    <w:rsid w:val="00FC145F"/>
    <w:rsid w:val="00FC3E9F"/>
    <w:rsid w:val="00FD0C27"/>
    <w:rsid w:val="00FD0CE9"/>
    <w:rsid w:val="00FD1227"/>
    <w:rsid w:val="00FD19BA"/>
    <w:rsid w:val="00FD1C41"/>
    <w:rsid w:val="00FD2CF6"/>
    <w:rsid w:val="00FD2DCF"/>
    <w:rsid w:val="00FD2EA2"/>
    <w:rsid w:val="00FD3035"/>
    <w:rsid w:val="00FD75B4"/>
    <w:rsid w:val="00FE1782"/>
    <w:rsid w:val="00FE2FE5"/>
    <w:rsid w:val="00FE5B9F"/>
    <w:rsid w:val="00FE65B2"/>
    <w:rsid w:val="00FE6CE6"/>
    <w:rsid w:val="00FF2C80"/>
    <w:rsid w:val="00FF3642"/>
    <w:rsid w:val="00FF381F"/>
    <w:rsid w:val="00FF3D80"/>
    <w:rsid w:val="00FF5F76"/>
    <w:rsid w:val="00FF75F1"/>
    <w:rsid w:val="00FF75F9"/>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2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7F"/>
    <w:rPr>
      <w:sz w:val="24"/>
    </w:rPr>
  </w:style>
  <w:style w:type="paragraph" w:styleId="Heading1">
    <w:name w:val="heading 1"/>
    <w:aliases w:val="Part"/>
    <w:basedOn w:val="Normal"/>
    <w:next w:val="Heading2"/>
    <w:qFormat/>
    <w:rsid w:val="00B0007F"/>
    <w:pPr>
      <w:spacing w:after="240"/>
      <w:jc w:val="center"/>
      <w:outlineLvl w:val="0"/>
    </w:pPr>
    <w:rPr>
      <w:rFonts w:ascii="Arial" w:hAnsi="Arial"/>
      <w:b/>
      <w:sz w:val="32"/>
    </w:rPr>
  </w:style>
  <w:style w:type="paragraph" w:styleId="Heading2">
    <w:name w:val="heading 2"/>
    <w:aliases w:val="Chapter Title"/>
    <w:basedOn w:val="Normal"/>
    <w:next w:val="Heading4"/>
    <w:qFormat/>
    <w:rsid w:val="00B0007F"/>
    <w:pPr>
      <w:spacing w:after="240"/>
      <w:jc w:val="center"/>
      <w:outlineLvl w:val="1"/>
    </w:pPr>
    <w:rPr>
      <w:rFonts w:ascii="Arial" w:hAnsi="Arial"/>
      <w:b/>
      <w:sz w:val="32"/>
    </w:rPr>
  </w:style>
  <w:style w:type="paragraph" w:styleId="Heading3">
    <w:name w:val="heading 3"/>
    <w:aliases w:val="Section"/>
    <w:basedOn w:val="Normal"/>
    <w:next w:val="Heading4"/>
    <w:qFormat/>
    <w:rsid w:val="00B0007F"/>
    <w:pPr>
      <w:spacing w:after="240"/>
      <w:jc w:val="center"/>
      <w:outlineLvl w:val="2"/>
    </w:pPr>
    <w:rPr>
      <w:rFonts w:ascii="Arial" w:hAnsi="Arial"/>
      <w:b/>
      <w:sz w:val="32"/>
    </w:rPr>
  </w:style>
  <w:style w:type="paragraph" w:styleId="Heading4">
    <w:name w:val="heading 4"/>
    <w:aliases w:val="Map Title"/>
    <w:basedOn w:val="Normal"/>
    <w:next w:val="Normal"/>
    <w:qFormat/>
    <w:rsid w:val="00731B7C"/>
    <w:pPr>
      <w:outlineLvl w:val="3"/>
    </w:pPr>
    <w:rPr>
      <w:b/>
      <w:sz w:val="32"/>
    </w:rPr>
  </w:style>
  <w:style w:type="paragraph" w:styleId="Heading5">
    <w:name w:val="heading 5"/>
    <w:aliases w:val="Block Label"/>
    <w:basedOn w:val="Normal"/>
    <w:next w:val="Normal"/>
    <w:qFormat/>
    <w:rsid w:val="00B0007F"/>
    <w:pPr>
      <w:outlineLvl w:val="4"/>
    </w:pPr>
    <w:rPr>
      <w:b/>
      <w:sz w:val="22"/>
    </w:rPr>
  </w:style>
  <w:style w:type="paragraph" w:styleId="Heading6">
    <w:name w:val="heading 6"/>
    <w:basedOn w:val="Normal"/>
    <w:next w:val="Normal"/>
    <w:qFormat/>
    <w:rsid w:val="00B0007F"/>
    <w:pPr>
      <w:spacing w:before="240" w:after="60"/>
      <w:outlineLvl w:val="5"/>
    </w:pPr>
    <w:rPr>
      <w:i/>
      <w:sz w:val="22"/>
    </w:rPr>
  </w:style>
  <w:style w:type="paragraph" w:styleId="Heading7">
    <w:name w:val="heading 7"/>
    <w:basedOn w:val="Normal"/>
    <w:next w:val="Normal"/>
    <w:qFormat/>
    <w:rsid w:val="00B0007F"/>
    <w:pPr>
      <w:spacing w:before="240" w:after="60"/>
      <w:outlineLvl w:val="6"/>
    </w:pPr>
    <w:rPr>
      <w:rFonts w:ascii="Arial" w:hAnsi="Arial"/>
      <w:sz w:val="20"/>
    </w:rPr>
  </w:style>
  <w:style w:type="paragraph" w:styleId="Heading8">
    <w:name w:val="heading 8"/>
    <w:basedOn w:val="Normal"/>
    <w:next w:val="Normal"/>
    <w:qFormat/>
    <w:rsid w:val="00B0007F"/>
    <w:pPr>
      <w:spacing w:before="240" w:after="60"/>
      <w:outlineLvl w:val="7"/>
    </w:pPr>
    <w:rPr>
      <w:rFonts w:ascii="Arial" w:hAnsi="Arial"/>
      <w:i/>
      <w:sz w:val="20"/>
    </w:rPr>
  </w:style>
  <w:style w:type="paragraph" w:styleId="Heading9">
    <w:name w:val="heading 9"/>
    <w:basedOn w:val="Normal"/>
    <w:next w:val="Normal"/>
    <w:qFormat/>
    <w:rsid w:val="00B0007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07F"/>
    <w:pPr>
      <w:tabs>
        <w:tab w:val="center" w:pos="4320"/>
        <w:tab w:val="right" w:pos="8640"/>
      </w:tabs>
    </w:pPr>
  </w:style>
  <w:style w:type="paragraph" w:styleId="MacroText">
    <w:name w:val="macro"/>
    <w:semiHidden/>
    <w:rsid w:val="00B000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B0007F"/>
    <w:pPr>
      <w:pBdr>
        <w:top w:val="single" w:sz="6" w:space="1" w:color="auto"/>
        <w:between w:val="single" w:sz="6" w:space="1" w:color="auto"/>
      </w:pBdr>
      <w:spacing w:before="240"/>
      <w:ind w:left="1700"/>
    </w:pPr>
  </w:style>
  <w:style w:type="paragraph" w:styleId="BlockText">
    <w:name w:val="Block Text"/>
    <w:basedOn w:val="Normal"/>
    <w:rsid w:val="00B0007F"/>
  </w:style>
  <w:style w:type="paragraph" w:customStyle="1" w:styleId="BulletText1">
    <w:name w:val="Bullet Text 1"/>
    <w:basedOn w:val="Normal"/>
    <w:rsid w:val="00B0007F"/>
    <w:pPr>
      <w:ind w:left="187" w:hanging="187"/>
    </w:pPr>
  </w:style>
  <w:style w:type="paragraph" w:customStyle="1" w:styleId="BulletText2">
    <w:name w:val="Bullet Text 2"/>
    <w:basedOn w:val="BulletText1"/>
    <w:rsid w:val="00B0007F"/>
    <w:pPr>
      <w:ind w:left="360"/>
    </w:pPr>
  </w:style>
  <w:style w:type="paragraph" w:customStyle="1" w:styleId="ContinuedOnNextPa">
    <w:name w:val="Continued On Next Pa"/>
    <w:basedOn w:val="Normal"/>
    <w:next w:val="Normal"/>
    <w:rsid w:val="00B0007F"/>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B0007F"/>
    <w:rPr>
      <w:b/>
      <w:sz w:val="22"/>
    </w:rPr>
  </w:style>
  <w:style w:type="paragraph" w:customStyle="1" w:styleId="MapTitleContinued">
    <w:name w:val="Map Title. Continued"/>
    <w:basedOn w:val="Normal"/>
    <w:rsid w:val="00B0007F"/>
    <w:pPr>
      <w:spacing w:after="240"/>
      <w:jc w:val="both"/>
    </w:pPr>
    <w:rPr>
      <w:rFonts w:ascii="Helvetica" w:hAnsi="Helvetica"/>
      <w:b/>
    </w:rPr>
  </w:style>
  <w:style w:type="paragraph" w:customStyle="1" w:styleId="MemoLine">
    <w:name w:val="Memo Line"/>
    <w:basedOn w:val="BlockLine"/>
    <w:next w:val="Normal"/>
    <w:rsid w:val="00B0007F"/>
    <w:pPr>
      <w:ind w:left="0"/>
    </w:pPr>
  </w:style>
  <w:style w:type="paragraph" w:styleId="Footer">
    <w:name w:val="footer"/>
    <w:basedOn w:val="Normal"/>
    <w:link w:val="FooterChar"/>
    <w:rsid w:val="00B0007F"/>
    <w:pPr>
      <w:tabs>
        <w:tab w:val="center" w:pos="4320"/>
        <w:tab w:val="right" w:pos="8640"/>
      </w:tabs>
    </w:pPr>
  </w:style>
  <w:style w:type="character" w:styleId="PageNumber">
    <w:name w:val="page number"/>
    <w:basedOn w:val="DefaultParagraphFont"/>
    <w:rsid w:val="00B0007F"/>
  </w:style>
  <w:style w:type="paragraph" w:customStyle="1" w:styleId="TableText">
    <w:name w:val="Table Text"/>
    <w:basedOn w:val="Normal"/>
    <w:rsid w:val="00B0007F"/>
  </w:style>
  <w:style w:type="paragraph" w:customStyle="1" w:styleId="NoteText">
    <w:name w:val="Note Text"/>
    <w:basedOn w:val="BlockText"/>
    <w:rsid w:val="00B0007F"/>
  </w:style>
  <w:style w:type="paragraph" w:customStyle="1" w:styleId="TableHeaderText">
    <w:name w:val="Table Header Text"/>
    <w:basedOn w:val="TableText"/>
    <w:rsid w:val="00B0007F"/>
    <w:pPr>
      <w:jc w:val="center"/>
    </w:pPr>
    <w:rPr>
      <w:b/>
    </w:rPr>
  </w:style>
  <w:style w:type="paragraph" w:customStyle="1" w:styleId="EmbeddedText">
    <w:name w:val="Embedded Text"/>
    <w:basedOn w:val="TableText"/>
    <w:rsid w:val="00B0007F"/>
  </w:style>
  <w:style w:type="paragraph" w:styleId="TOC1">
    <w:name w:val="toc 1"/>
    <w:basedOn w:val="Normal"/>
    <w:next w:val="Normal"/>
    <w:semiHidden/>
    <w:rsid w:val="00B0007F"/>
    <w:pPr>
      <w:tabs>
        <w:tab w:val="right" w:leader="dot" w:pos="10800"/>
      </w:tabs>
    </w:pPr>
  </w:style>
  <w:style w:type="paragraph" w:styleId="TOC2">
    <w:name w:val="toc 2"/>
    <w:basedOn w:val="Normal"/>
    <w:next w:val="Normal"/>
    <w:semiHidden/>
    <w:rsid w:val="00B0007F"/>
    <w:pPr>
      <w:tabs>
        <w:tab w:val="right" w:leader="dot" w:pos="10800"/>
      </w:tabs>
      <w:ind w:left="240"/>
    </w:pPr>
  </w:style>
  <w:style w:type="paragraph" w:styleId="BodyText3">
    <w:name w:val="Body Text 3"/>
    <w:basedOn w:val="Normal"/>
    <w:rsid w:val="00B0007F"/>
    <w:rPr>
      <w:b/>
      <w:sz w:val="18"/>
    </w:rPr>
  </w:style>
  <w:style w:type="paragraph" w:styleId="BodyText2">
    <w:name w:val="Body Text 2"/>
    <w:basedOn w:val="Normal"/>
    <w:rsid w:val="00B0007F"/>
    <w:rPr>
      <w:b/>
      <w:sz w:val="16"/>
    </w:rPr>
  </w:style>
  <w:style w:type="paragraph" w:styleId="Title">
    <w:name w:val="Title"/>
    <w:basedOn w:val="Normal"/>
    <w:qFormat/>
    <w:rsid w:val="00B0007F"/>
    <w:pPr>
      <w:tabs>
        <w:tab w:val="left" w:pos="900"/>
        <w:tab w:val="left" w:pos="1980"/>
        <w:tab w:val="left" w:pos="2880"/>
        <w:tab w:val="left" w:pos="4140"/>
        <w:tab w:val="left" w:pos="5040"/>
        <w:tab w:val="left" w:pos="6300"/>
        <w:tab w:val="left" w:pos="7200"/>
      </w:tabs>
      <w:jc w:val="center"/>
    </w:pPr>
    <w:rPr>
      <w:b/>
      <w:sz w:val="28"/>
    </w:rPr>
  </w:style>
  <w:style w:type="character" w:styleId="Hyperlink">
    <w:name w:val="Hyperlink"/>
    <w:basedOn w:val="DefaultParagraphFont"/>
    <w:uiPriority w:val="99"/>
    <w:rsid w:val="00B0007F"/>
    <w:rPr>
      <w:color w:val="0000FF"/>
      <w:u w:val="single"/>
    </w:rPr>
  </w:style>
  <w:style w:type="paragraph" w:customStyle="1" w:styleId="Extmemo">
    <w:name w:val="Extmemo"/>
    <w:basedOn w:val="Normal"/>
    <w:rsid w:val="00B0007F"/>
    <w:pPr>
      <w:spacing w:line="240" w:lineRule="exact"/>
    </w:pPr>
    <w:rPr>
      <w:rFonts w:ascii="Times" w:hAnsi="Times"/>
    </w:rPr>
  </w:style>
  <w:style w:type="paragraph" w:styleId="PlainText">
    <w:name w:val="Plain Text"/>
    <w:basedOn w:val="Normal"/>
    <w:rsid w:val="00B0007F"/>
    <w:rPr>
      <w:rFonts w:ascii="Courier New" w:hAnsi="Courier New"/>
      <w:sz w:val="20"/>
    </w:rPr>
  </w:style>
  <w:style w:type="paragraph" w:styleId="DocumentMap">
    <w:name w:val="Document Map"/>
    <w:basedOn w:val="Normal"/>
    <w:semiHidden/>
    <w:rsid w:val="00B0007F"/>
    <w:pPr>
      <w:shd w:val="clear" w:color="auto" w:fill="000080"/>
    </w:pPr>
    <w:rPr>
      <w:rFonts w:ascii="Tahoma" w:hAnsi="Tahoma"/>
    </w:rPr>
  </w:style>
  <w:style w:type="character" w:styleId="FollowedHyperlink">
    <w:name w:val="FollowedHyperlink"/>
    <w:basedOn w:val="DefaultParagraphFont"/>
    <w:uiPriority w:val="99"/>
    <w:rsid w:val="00B0007F"/>
    <w:rPr>
      <w:color w:val="800080"/>
      <w:u w:val="single"/>
    </w:rPr>
  </w:style>
  <w:style w:type="paragraph" w:styleId="BodyText">
    <w:name w:val="Body Text"/>
    <w:basedOn w:val="Normal"/>
    <w:rsid w:val="00B0007F"/>
    <w:rPr>
      <w:sz w:val="16"/>
    </w:rPr>
  </w:style>
  <w:style w:type="character" w:styleId="CommentReference">
    <w:name w:val="annotation reference"/>
    <w:basedOn w:val="DefaultParagraphFont"/>
    <w:uiPriority w:val="99"/>
    <w:semiHidden/>
    <w:rsid w:val="00B0007F"/>
    <w:rPr>
      <w:sz w:val="16"/>
    </w:rPr>
  </w:style>
  <w:style w:type="paragraph" w:styleId="CommentText">
    <w:name w:val="annotation text"/>
    <w:basedOn w:val="Normal"/>
    <w:link w:val="CommentTextChar"/>
    <w:uiPriority w:val="99"/>
    <w:rsid w:val="00B0007F"/>
    <w:rPr>
      <w:sz w:val="20"/>
    </w:rPr>
  </w:style>
  <w:style w:type="paragraph" w:styleId="Caption">
    <w:name w:val="caption"/>
    <w:basedOn w:val="Normal"/>
    <w:next w:val="Normal"/>
    <w:qFormat/>
    <w:rsid w:val="00B0007F"/>
    <w:pPr>
      <w:spacing w:before="120" w:after="120"/>
    </w:pPr>
    <w:rPr>
      <w:b/>
    </w:rPr>
  </w:style>
  <w:style w:type="paragraph" w:customStyle="1" w:styleId="BodySingle">
    <w:name w:val="BodySingle"/>
    <w:rsid w:val="00B0007F"/>
    <w:rPr>
      <w:rFonts w:ascii="Arial" w:hAnsi="Arial"/>
      <w:sz w:val="24"/>
    </w:rPr>
  </w:style>
  <w:style w:type="paragraph" w:styleId="BalloonText">
    <w:name w:val="Balloon Text"/>
    <w:basedOn w:val="Normal"/>
    <w:semiHidden/>
    <w:rsid w:val="00D23E54"/>
    <w:rPr>
      <w:rFonts w:ascii="Tahoma" w:hAnsi="Tahoma" w:cs="Tahoma"/>
      <w:sz w:val="16"/>
      <w:szCs w:val="16"/>
    </w:rPr>
  </w:style>
  <w:style w:type="table" w:styleId="TableGrid">
    <w:name w:val="Table Grid"/>
    <w:basedOn w:val="TableNormal"/>
    <w:rsid w:val="0027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2C80"/>
    <w:pPr>
      <w:autoSpaceDE w:val="0"/>
      <w:autoSpaceDN w:val="0"/>
      <w:adjustRightInd w:val="0"/>
    </w:pPr>
    <w:rPr>
      <w:color w:val="000000"/>
      <w:sz w:val="24"/>
      <w:szCs w:val="24"/>
    </w:rPr>
  </w:style>
  <w:style w:type="paragraph" w:customStyle="1" w:styleId="Normal11pt">
    <w:name w:val="Normal + 11pt"/>
    <w:basedOn w:val="NormalWeb"/>
    <w:link w:val="Normal11ptChar"/>
    <w:rsid w:val="005A5737"/>
    <w:pPr>
      <w:spacing w:before="100" w:beforeAutospacing="1" w:after="100" w:afterAutospacing="1"/>
    </w:pPr>
    <w:rPr>
      <w:rFonts w:ascii="Arial" w:hAnsi="Arial" w:cs="Arial"/>
    </w:rPr>
  </w:style>
  <w:style w:type="paragraph" w:styleId="NormalWeb">
    <w:name w:val="Normal (Web)"/>
    <w:basedOn w:val="Normal"/>
    <w:rsid w:val="005A5737"/>
    <w:rPr>
      <w:szCs w:val="24"/>
    </w:rPr>
  </w:style>
  <w:style w:type="character" w:customStyle="1" w:styleId="Normal11ptChar">
    <w:name w:val="Normal + 11pt Char"/>
    <w:basedOn w:val="DefaultParagraphFont"/>
    <w:link w:val="Normal11pt"/>
    <w:rsid w:val="005A5737"/>
    <w:rPr>
      <w:rFonts w:ascii="Arial" w:hAnsi="Arial" w:cs="Arial"/>
      <w:sz w:val="24"/>
      <w:szCs w:val="24"/>
      <w:lang w:val="en-US" w:eastAsia="en-US" w:bidi="ar-SA"/>
    </w:rPr>
  </w:style>
  <w:style w:type="character" w:styleId="Strong">
    <w:name w:val="Strong"/>
    <w:basedOn w:val="DefaultParagraphFont"/>
    <w:uiPriority w:val="22"/>
    <w:qFormat/>
    <w:rsid w:val="009B53F2"/>
    <w:rPr>
      <w:b/>
      <w:bCs/>
    </w:rPr>
  </w:style>
  <w:style w:type="character" w:customStyle="1" w:styleId="FooterChar">
    <w:name w:val="Footer Char"/>
    <w:basedOn w:val="DefaultParagraphFont"/>
    <w:link w:val="Footer"/>
    <w:uiPriority w:val="99"/>
    <w:rsid w:val="007043DB"/>
    <w:rPr>
      <w:sz w:val="24"/>
    </w:rPr>
  </w:style>
  <w:style w:type="paragraph" w:customStyle="1" w:styleId="font5">
    <w:name w:val="font5"/>
    <w:basedOn w:val="Normal"/>
    <w:rsid w:val="0020570E"/>
    <w:pPr>
      <w:spacing w:before="100" w:beforeAutospacing="1" w:after="100" w:afterAutospacing="1"/>
    </w:pPr>
    <w:rPr>
      <w:szCs w:val="24"/>
    </w:rPr>
  </w:style>
  <w:style w:type="paragraph" w:customStyle="1" w:styleId="font6">
    <w:name w:val="font6"/>
    <w:basedOn w:val="Normal"/>
    <w:rsid w:val="0020570E"/>
    <w:pPr>
      <w:spacing w:before="100" w:beforeAutospacing="1" w:after="100" w:afterAutospacing="1"/>
    </w:pPr>
    <w:rPr>
      <w:b/>
      <w:bCs/>
      <w:sz w:val="28"/>
      <w:szCs w:val="28"/>
    </w:rPr>
  </w:style>
  <w:style w:type="paragraph" w:customStyle="1" w:styleId="xl65">
    <w:name w:val="xl65"/>
    <w:basedOn w:val="Normal"/>
    <w:rsid w:val="0020570E"/>
    <w:pPr>
      <w:spacing w:before="100" w:beforeAutospacing="1" w:after="100" w:afterAutospacing="1"/>
      <w:jc w:val="center"/>
      <w:textAlignment w:val="top"/>
    </w:pPr>
    <w:rPr>
      <w:b/>
      <w:bCs/>
      <w:sz w:val="22"/>
      <w:szCs w:val="22"/>
      <w:u w:val="single"/>
    </w:rPr>
  </w:style>
  <w:style w:type="paragraph" w:customStyle="1" w:styleId="xl66">
    <w:name w:val="xl66"/>
    <w:basedOn w:val="Normal"/>
    <w:rsid w:val="0020570E"/>
    <w:pPr>
      <w:spacing w:before="100" w:beforeAutospacing="1" w:after="100" w:afterAutospacing="1"/>
    </w:pPr>
    <w:rPr>
      <w:szCs w:val="24"/>
    </w:rPr>
  </w:style>
  <w:style w:type="paragraph" w:customStyle="1" w:styleId="xl67">
    <w:name w:val="xl67"/>
    <w:basedOn w:val="Normal"/>
    <w:rsid w:val="0020570E"/>
    <w:pPr>
      <w:spacing w:before="100" w:beforeAutospacing="1" w:after="100" w:afterAutospacing="1"/>
    </w:pPr>
    <w:rPr>
      <w:sz w:val="12"/>
      <w:szCs w:val="12"/>
    </w:rPr>
  </w:style>
  <w:style w:type="paragraph" w:customStyle="1" w:styleId="xl68">
    <w:name w:val="xl68"/>
    <w:basedOn w:val="Normal"/>
    <w:rsid w:val="0020570E"/>
    <w:pPr>
      <w:spacing w:before="100" w:beforeAutospacing="1" w:after="100" w:afterAutospacing="1"/>
    </w:pPr>
    <w:rPr>
      <w:b/>
      <w:bCs/>
      <w:sz w:val="22"/>
      <w:szCs w:val="22"/>
    </w:rPr>
  </w:style>
  <w:style w:type="paragraph" w:customStyle="1" w:styleId="xl69">
    <w:name w:val="xl69"/>
    <w:basedOn w:val="Normal"/>
    <w:rsid w:val="0020570E"/>
    <w:pPr>
      <w:spacing w:before="100" w:beforeAutospacing="1" w:after="100" w:afterAutospacing="1"/>
      <w:jc w:val="center"/>
      <w:textAlignment w:val="top"/>
    </w:pPr>
    <w:rPr>
      <w:b/>
      <w:bCs/>
      <w:sz w:val="22"/>
      <w:szCs w:val="22"/>
      <w:u w:val="single"/>
    </w:rPr>
  </w:style>
  <w:style w:type="paragraph" w:customStyle="1" w:styleId="xl70">
    <w:name w:val="xl70"/>
    <w:basedOn w:val="Normal"/>
    <w:rsid w:val="0020570E"/>
    <w:pPr>
      <w:spacing w:before="100" w:beforeAutospacing="1" w:after="100" w:afterAutospacing="1"/>
    </w:pPr>
    <w:rPr>
      <w:b/>
      <w:bCs/>
      <w:sz w:val="28"/>
      <w:szCs w:val="28"/>
    </w:rPr>
  </w:style>
  <w:style w:type="paragraph" w:customStyle="1" w:styleId="xl72">
    <w:name w:val="xl72"/>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3">
    <w:name w:val="xl73"/>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4">
    <w:name w:val="xl74"/>
    <w:basedOn w:val="Normal"/>
    <w:rsid w:val="00205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sz w:val="20"/>
    </w:rPr>
  </w:style>
  <w:style w:type="paragraph" w:customStyle="1" w:styleId="xl75">
    <w:name w:val="xl75"/>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rPr>
  </w:style>
  <w:style w:type="paragraph" w:customStyle="1" w:styleId="xl76">
    <w:name w:val="xl76"/>
    <w:basedOn w:val="Normal"/>
    <w:rsid w:val="00205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sz w:val="20"/>
    </w:rPr>
  </w:style>
  <w:style w:type="paragraph" w:customStyle="1" w:styleId="xl77">
    <w:name w:val="xl77"/>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styleId="Revision">
    <w:name w:val="Revision"/>
    <w:hidden/>
    <w:uiPriority w:val="99"/>
    <w:semiHidden/>
    <w:rsid w:val="005618BB"/>
    <w:rPr>
      <w:sz w:val="24"/>
    </w:rPr>
  </w:style>
  <w:style w:type="paragraph" w:customStyle="1" w:styleId="msonormal0">
    <w:name w:val="msonormal"/>
    <w:basedOn w:val="Normal"/>
    <w:rsid w:val="0079480F"/>
    <w:pPr>
      <w:spacing w:before="100" w:beforeAutospacing="1" w:after="100" w:afterAutospacing="1"/>
    </w:pPr>
    <w:rPr>
      <w:szCs w:val="24"/>
    </w:rPr>
  </w:style>
  <w:style w:type="paragraph" w:customStyle="1" w:styleId="xl78">
    <w:name w:val="xl78"/>
    <w:basedOn w:val="Normal"/>
    <w:rsid w:val="007948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sz w:val="20"/>
    </w:rPr>
  </w:style>
  <w:style w:type="character" w:customStyle="1" w:styleId="HeaderChar">
    <w:name w:val="Header Char"/>
    <w:basedOn w:val="DefaultParagraphFont"/>
    <w:link w:val="Header"/>
    <w:uiPriority w:val="99"/>
    <w:rsid w:val="006C2E6C"/>
    <w:rPr>
      <w:sz w:val="24"/>
    </w:rPr>
  </w:style>
  <w:style w:type="paragraph" w:styleId="ListParagraph">
    <w:name w:val="List Paragraph"/>
    <w:basedOn w:val="Normal"/>
    <w:uiPriority w:val="34"/>
    <w:qFormat/>
    <w:rsid w:val="00260D48"/>
    <w:pPr>
      <w:ind w:left="720"/>
      <w:contextualSpacing/>
    </w:pPr>
  </w:style>
  <w:style w:type="character" w:styleId="PlaceholderText">
    <w:name w:val="Placeholder Text"/>
    <w:basedOn w:val="DefaultParagraphFont"/>
    <w:uiPriority w:val="99"/>
    <w:semiHidden/>
    <w:rsid w:val="005D21AF"/>
    <w:rPr>
      <w:color w:val="808080"/>
    </w:rPr>
  </w:style>
  <w:style w:type="character" w:styleId="Emphasis">
    <w:name w:val="Emphasis"/>
    <w:qFormat/>
    <w:rsid w:val="005D21AF"/>
    <w:rPr>
      <w:i/>
      <w:iCs/>
    </w:rPr>
  </w:style>
  <w:style w:type="paragraph" w:customStyle="1" w:styleId="xl71">
    <w:name w:val="xl71"/>
    <w:basedOn w:val="Normal"/>
    <w:rsid w:val="002E3B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9">
    <w:name w:val="xl79"/>
    <w:basedOn w:val="Normal"/>
    <w:rsid w:val="002E3B62"/>
    <w:pPr>
      <w:spacing w:before="100" w:beforeAutospacing="1" w:after="100" w:afterAutospacing="1"/>
    </w:pPr>
    <w:rPr>
      <w:b/>
      <w:bCs/>
      <w:sz w:val="22"/>
      <w:szCs w:val="22"/>
    </w:rPr>
  </w:style>
  <w:style w:type="character" w:customStyle="1" w:styleId="CommentTextChar">
    <w:name w:val="Comment Text Char"/>
    <w:basedOn w:val="DefaultParagraphFont"/>
    <w:link w:val="CommentText"/>
    <w:uiPriority w:val="99"/>
    <w:rsid w:val="00AC799B"/>
  </w:style>
  <w:style w:type="character" w:customStyle="1" w:styleId="normaltextrun">
    <w:name w:val="normaltextrun"/>
    <w:basedOn w:val="DefaultParagraphFont"/>
    <w:rsid w:val="004A5613"/>
  </w:style>
  <w:style w:type="character" w:customStyle="1" w:styleId="eop">
    <w:name w:val="eop"/>
    <w:basedOn w:val="DefaultParagraphFont"/>
    <w:rsid w:val="004A5613"/>
  </w:style>
  <w:style w:type="paragraph" w:styleId="CommentSubject">
    <w:name w:val="annotation subject"/>
    <w:basedOn w:val="CommentText"/>
    <w:next w:val="CommentText"/>
    <w:link w:val="CommentSubjectChar"/>
    <w:semiHidden/>
    <w:unhideWhenUsed/>
    <w:rsid w:val="009B469E"/>
    <w:rPr>
      <w:b/>
      <w:bCs/>
    </w:rPr>
  </w:style>
  <w:style w:type="character" w:customStyle="1" w:styleId="CommentSubjectChar">
    <w:name w:val="Comment Subject Char"/>
    <w:basedOn w:val="CommentTextChar"/>
    <w:link w:val="CommentSubject"/>
    <w:semiHidden/>
    <w:rsid w:val="009B4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8805">
      <w:bodyDiv w:val="1"/>
      <w:marLeft w:val="0"/>
      <w:marRight w:val="0"/>
      <w:marTop w:val="0"/>
      <w:marBottom w:val="0"/>
      <w:divBdr>
        <w:top w:val="none" w:sz="0" w:space="0" w:color="auto"/>
        <w:left w:val="none" w:sz="0" w:space="0" w:color="auto"/>
        <w:bottom w:val="none" w:sz="0" w:space="0" w:color="auto"/>
        <w:right w:val="none" w:sz="0" w:space="0" w:color="auto"/>
      </w:divBdr>
    </w:div>
    <w:div w:id="39211058">
      <w:bodyDiv w:val="1"/>
      <w:marLeft w:val="0"/>
      <w:marRight w:val="0"/>
      <w:marTop w:val="0"/>
      <w:marBottom w:val="0"/>
      <w:divBdr>
        <w:top w:val="none" w:sz="0" w:space="0" w:color="auto"/>
        <w:left w:val="none" w:sz="0" w:space="0" w:color="auto"/>
        <w:bottom w:val="none" w:sz="0" w:space="0" w:color="auto"/>
        <w:right w:val="none" w:sz="0" w:space="0" w:color="auto"/>
      </w:divBdr>
    </w:div>
    <w:div w:id="60762650">
      <w:bodyDiv w:val="1"/>
      <w:marLeft w:val="0"/>
      <w:marRight w:val="0"/>
      <w:marTop w:val="0"/>
      <w:marBottom w:val="0"/>
      <w:divBdr>
        <w:top w:val="none" w:sz="0" w:space="0" w:color="auto"/>
        <w:left w:val="none" w:sz="0" w:space="0" w:color="auto"/>
        <w:bottom w:val="none" w:sz="0" w:space="0" w:color="auto"/>
        <w:right w:val="none" w:sz="0" w:space="0" w:color="auto"/>
      </w:divBdr>
    </w:div>
    <w:div w:id="66344614">
      <w:bodyDiv w:val="1"/>
      <w:marLeft w:val="0"/>
      <w:marRight w:val="0"/>
      <w:marTop w:val="0"/>
      <w:marBottom w:val="0"/>
      <w:divBdr>
        <w:top w:val="none" w:sz="0" w:space="0" w:color="auto"/>
        <w:left w:val="none" w:sz="0" w:space="0" w:color="auto"/>
        <w:bottom w:val="none" w:sz="0" w:space="0" w:color="auto"/>
        <w:right w:val="none" w:sz="0" w:space="0" w:color="auto"/>
      </w:divBdr>
    </w:div>
    <w:div w:id="82798460">
      <w:bodyDiv w:val="1"/>
      <w:marLeft w:val="0"/>
      <w:marRight w:val="0"/>
      <w:marTop w:val="0"/>
      <w:marBottom w:val="0"/>
      <w:divBdr>
        <w:top w:val="none" w:sz="0" w:space="0" w:color="auto"/>
        <w:left w:val="none" w:sz="0" w:space="0" w:color="auto"/>
        <w:bottom w:val="none" w:sz="0" w:space="0" w:color="auto"/>
        <w:right w:val="none" w:sz="0" w:space="0" w:color="auto"/>
      </w:divBdr>
    </w:div>
    <w:div w:id="109866029">
      <w:bodyDiv w:val="1"/>
      <w:marLeft w:val="0"/>
      <w:marRight w:val="0"/>
      <w:marTop w:val="0"/>
      <w:marBottom w:val="0"/>
      <w:divBdr>
        <w:top w:val="none" w:sz="0" w:space="0" w:color="auto"/>
        <w:left w:val="none" w:sz="0" w:space="0" w:color="auto"/>
        <w:bottom w:val="none" w:sz="0" w:space="0" w:color="auto"/>
        <w:right w:val="none" w:sz="0" w:space="0" w:color="auto"/>
      </w:divBdr>
    </w:div>
    <w:div w:id="111827465">
      <w:bodyDiv w:val="1"/>
      <w:marLeft w:val="0"/>
      <w:marRight w:val="0"/>
      <w:marTop w:val="0"/>
      <w:marBottom w:val="0"/>
      <w:divBdr>
        <w:top w:val="none" w:sz="0" w:space="0" w:color="auto"/>
        <w:left w:val="none" w:sz="0" w:space="0" w:color="auto"/>
        <w:bottom w:val="none" w:sz="0" w:space="0" w:color="auto"/>
        <w:right w:val="none" w:sz="0" w:space="0" w:color="auto"/>
      </w:divBdr>
    </w:div>
    <w:div w:id="113259888">
      <w:bodyDiv w:val="1"/>
      <w:marLeft w:val="0"/>
      <w:marRight w:val="0"/>
      <w:marTop w:val="0"/>
      <w:marBottom w:val="0"/>
      <w:divBdr>
        <w:top w:val="none" w:sz="0" w:space="0" w:color="auto"/>
        <w:left w:val="none" w:sz="0" w:space="0" w:color="auto"/>
        <w:bottom w:val="none" w:sz="0" w:space="0" w:color="auto"/>
        <w:right w:val="none" w:sz="0" w:space="0" w:color="auto"/>
      </w:divBdr>
    </w:div>
    <w:div w:id="132064404">
      <w:bodyDiv w:val="1"/>
      <w:marLeft w:val="0"/>
      <w:marRight w:val="0"/>
      <w:marTop w:val="0"/>
      <w:marBottom w:val="0"/>
      <w:divBdr>
        <w:top w:val="none" w:sz="0" w:space="0" w:color="auto"/>
        <w:left w:val="none" w:sz="0" w:space="0" w:color="auto"/>
        <w:bottom w:val="none" w:sz="0" w:space="0" w:color="auto"/>
        <w:right w:val="none" w:sz="0" w:space="0" w:color="auto"/>
      </w:divBdr>
      <w:divsChild>
        <w:div w:id="1507399964">
          <w:marLeft w:val="0"/>
          <w:marRight w:val="0"/>
          <w:marTop w:val="0"/>
          <w:marBottom w:val="0"/>
          <w:divBdr>
            <w:top w:val="none" w:sz="0" w:space="0" w:color="auto"/>
            <w:left w:val="none" w:sz="0" w:space="0" w:color="auto"/>
            <w:bottom w:val="none" w:sz="0" w:space="0" w:color="auto"/>
            <w:right w:val="none" w:sz="0" w:space="0" w:color="auto"/>
          </w:divBdr>
        </w:div>
      </w:divsChild>
    </w:div>
    <w:div w:id="155800431">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sChild>
        <w:div w:id="723025525">
          <w:marLeft w:val="0"/>
          <w:marRight w:val="0"/>
          <w:marTop w:val="0"/>
          <w:marBottom w:val="0"/>
          <w:divBdr>
            <w:top w:val="none" w:sz="0" w:space="0" w:color="auto"/>
            <w:left w:val="none" w:sz="0" w:space="0" w:color="auto"/>
            <w:bottom w:val="none" w:sz="0" w:space="0" w:color="auto"/>
            <w:right w:val="none" w:sz="0" w:space="0" w:color="auto"/>
          </w:divBdr>
          <w:divsChild>
            <w:div w:id="427702954">
              <w:marLeft w:val="0"/>
              <w:marRight w:val="0"/>
              <w:marTop w:val="0"/>
              <w:marBottom w:val="0"/>
              <w:divBdr>
                <w:top w:val="none" w:sz="0" w:space="0" w:color="auto"/>
                <w:left w:val="none" w:sz="0" w:space="0" w:color="auto"/>
                <w:bottom w:val="none" w:sz="0" w:space="0" w:color="auto"/>
                <w:right w:val="none" w:sz="0" w:space="0" w:color="auto"/>
              </w:divBdr>
              <w:divsChild>
                <w:div w:id="1463379956">
                  <w:marLeft w:val="0"/>
                  <w:marRight w:val="0"/>
                  <w:marTop w:val="0"/>
                  <w:marBottom w:val="0"/>
                  <w:divBdr>
                    <w:top w:val="none" w:sz="0" w:space="0" w:color="auto"/>
                    <w:left w:val="none" w:sz="0" w:space="0" w:color="auto"/>
                    <w:bottom w:val="none" w:sz="0" w:space="0" w:color="auto"/>
                    <w:right w:val="none" w:sz="0" w:space="0" w:color="auto"/>
                  </w:divBdr>
                  <w:divsChild>
                    <w:div w:id="19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1587">
      <w:bodyDiv w:val="1"/>
      <w:marLeft w:val="0"/>
      <w:marRight w:val="0"/>
      <w:marTop w:val="0"/>
      <w:marBottom w:val="0"/>
      <w:divBdr>
        <w:top w:val="none" w:sz="0" w:space="0" w:color="auto"/>
        <w:left w:val="none" w:sz="0" w:space="0" w:color="auto"/>
        <w:bottom w:val="none" w:sz="0" w:space="0" w:color="auto"/>
        <w:right w:val="none" w:sz="0" w:space="0" w:color="auto"/>
      </w:divBdr>
    </w:div>
    <w:div w:id="202792091">
      <w:bodyDiv w:val="1"/>
      <w:marLeft w:val="0"/>
      <w:marRight w:val="0"/>
      <w:marTop w:val="0"/>
      <w:marBottom w:val="0"/>
      <w:divBdr>
        <w:top w:val="none" w:sz="0" w:space="0" w:color="auto"/>
        <w:left w:val="none" w:sz="0" w:space="0" w:color="auto"/>
        <w:bottom w:val="none" w:sz="0" w:space="0" w:color="auto"/>
        <w:right w:val="none" w:sz="0" w:space="0" w:color="auto"/>
      </w:divBdr>
    </w:div>
    <w:div w:id="205139546">
      <w:bodyDiv w:val="1"/>
      <w:marLeft w:val="0"/>
      <w:marRight w:val="0"/>
      <w:marTop w:val="0"/>
      <w:marBottom w:val="0"/>
      <w:divBdr>
        <w:top w:val="none" w:sz="0" w:space="0" w:color="auto"/>
        <w:left w:val="none" w:sz="0" w:space="0" w:color="auto"/>
        <w:bottom w:val="none" w:sz="0" w:space="0" w:color="auto"/>
        <w:right w:val="none" w:sz="0" w:space="0" w:color="auto"/>
      </w:divBdr>
    </w:div>
    <w:div w:id="219363837">
      <w:bodyDiv w:val="1"/>
      <w:marLeft w:val="0"/>
      <w:marRight w:val="0"/>
      <w:marTop w:val="0"/>
      <w:marBottom w:val="0"/>
      <w:divBdr>
        <w:top w:val="none" w:sz="0" w:space="0" w:color="auto"/>
        <w:left w:val="none" w:sz="0" w:space="0" w:color="auto"/>
        <w:bottom w:val="none" w:sz="0" w:space="0" w:color="auto"/>
        <w:right w:val="none" w:sz="0" w:space="0" w:color="auto"/>
      </w:divBdr>
    </w:div>
    <w:div w:id="277831543">
      <w:bodyDiv w:val="1"/>
      <w:marLeft w:val="0"/>
      <w:marRight w:val="0"/>
      <w:marTop w:val="0"/>
      <w:marBottom w:val="0"/>
      <w:divBdr>
        <w:top w:val="none" w:sz="0" w:space="0" w:color="auto"/>
        <w:left w:val="none" w:sz="0" w:space="0" w:color="auto"/>
        <w:bottom w:val="none" w:sz="0" w:space="0" w:color="auto"/>
        <w:right w:val="none" w:sz="0" w:space="0" w:color="auto"/>
      </w:divBdr>
    </w:div>
    <w:div w:id="294530788">
      <w:bodyDiv w:val="1"/>
      <w:marLeft w:val="0"/>
      <w:marRight w:val="0"/>
      <w:marTop w:val="0"/>
      <w:marBottom w:val="0"/>
      <w:divBdr>
        <w:top w:val="none" w:sz="0" w:space="0" w:color="auto"/>
        <w:left w:val="none" w:sz="0" w:space="0" w:color="auto"/>
        <w:bottom w:val="none" w:sz="0" w:space="0" w:color="auto"/>
        <w:right w:val="none" w:sz="0" w:space="0" w:color="auto"/>
      </w:divBdr>
    </w:div>
    <w:div w:id="377629264">
      <w:bodyDiv w:val="1"/>
      <w:marLeft w:val="0"/>
      <w:marRight w:val="0"/>
      <w:marTop w:val="0"/>
      <w:marBottom w:val="0"/>
      <w:divBdr>
        <w:top w:val="none" w:sz="0" w:space="0" w:color="auto"/>
        <w:left w:val="none" w:sz="0" w:space="0" w:color="auto"/>
        <w:bottom w:val="none" w:sz="0" w:space="0" w:color="auto"/>
        <w:right w:val="none" w:sz="0" w:space="0" w:color="auto"/>
      </w:divBdr>
    </w:div>
    <w:div w:id="457644048">
      <w:bodyDiv w:val="1"/>
      <w:marLeft w:val="0"/>
      <w:marRight w:val="0"/>
      <w:marTop w:val="0"/>
      <w:marBottom w:val="0"/>
      <w:divBdr>
        <w:top w:val="none" w:sz="0" w:space="0" w:color="auto"/>
        <w:left w:val="none" w:sz="0" w:space="0" w:color="auto"/>
        <w:bottom w:val="none" w:sz="0" w:space="0" w:color="auto"/>
        <w:right w:val="none" w:sz="0" w:space="0" w:color="auto"/>
      </w:divBdr>
    </w:div>
    <w:div w:id="467743193">
      <w:bodyDiv w:val="1"/>
      <w:marLeft w:val="0"/>
      <w:marRight w:val="0"/>
      <w:marTop w:val="0"/>
      <w:marBottom w:val="0"/>
      <w:divBdr>
        <w:top w:val="none" w:sz="0" w:space="0" w:color="auto"/>
        <w:left w:val="none" w:sz="0" w:space="0" w:color="auto"/>
        <w:bottom w:val="none" w:sz="0" w:space="0" w:color="auto"/>
        <w:right w:val="none" w:sz="0" w:space="0" w:color="auto"/>
      </w:divBdr>
    </w:div>
    <w:div w:id="526723172">
      <w:bodyDiv w:val="1"/>
      <w:marLeft w:val="0"/>
      <w:marRight w:val="0"/>
      <w:marTop w:val="0"/>
      <w:marBottom w:val="0"/>
      <w:divBdr>
        <w:top w:val="none" w:sz="0" w:space="0" w:color="auto"/>
        <w:left w:val="none" w:sz="0" w:space="0" w:color="auto"/>
        <w:bottom w:val="none" w:sz="0" w:space="0" w:color="auto"/>
        <w:right w:val="none" w:sz="0" w:space="0" w:color="auto"/>
      </w:divBdr>
    </w:div>
    <w:div w:id="571087609">
      <w:bodyDiv w:val="1"/>
      <w:marLeft w:val="0"/>
      <w:marRight w:val="0"/>
      <w:marTop w:val="0"/>
      <w:marBottom w:val="0"/>
      <w:divBdr>
        <w:top w:val="none" w:sz="0" w:space="0" w:color="auto"/>
        <w:left w:val="none" w:sz="0" w:space="0" w:color="auto"/>
        <w:bottom w:val="none" w:sz="0" w:space="0" w:color="auto"/>
        <w:right w:val="none" w:sz="0" w:space="0" w:color="auto"/>
      </w:divBdr>
    </w:div>
    <w:div w:id="571544923">
      <w:bodyDiv w:val="1"/>
      <w:marLeft w:val="0"/>
      <w:marRight w:val="0"/>
      <w:marTop w:val="0"/>
      <w:marBottom w:val="0"/>
      <w:divBdr>
        <w:top w:val="none" w:sz="0" w:space="0" w:color="auto"/>
        <w:left w:val="none" w:sz="0" w:space="0" w:color="auto"/>
        <w:bottom w:val="none" w:sz="0" w:space="0" w:color="auto"/>
        <w:right w:val="none" w:sz="0" w:space="0" w:color="auto"/>
      </w:divBdr>
    </w:div>
    <w:div w:id="593326179">
      <w:bodyDiv w:val="1"/>
      <w:marLeft w:val="0"/>
      <w:marRight w:val="0"/>
      <w:marTop w:val="0"/>
      <w:marBottom w:val="0"/>
      <w:divBdr>
        <w:top w:val="none" w:sz="0" w:space="0" w:color="auto"/>
        <w:left w:val="none" w:sz="0" w:space="0" w:color="auto"/>
        <w:bottom w:val="none" w:sz="0" w:space="0" w:color="auto"/>
        <w:right w:val="none" w:sz="0" w:space="0" w:color="auto"/>
      </w:divBdr>
    </w:div>
    <w:div w:id="606305292">
      <w:bodyDiv w:val="1"/>
      <w:marLeft w:val="0"/>
      <w:marRight w:val="0"/>
      <w:marTop w:val="0"/>
      <w:marBottom w:val="0"/>
      <w:divBdr>
        <w:top w:val="none" w:sz="0" w:space="0" w:color="auto"/>
        <w:left w:val="none" w:sz="0" w:space="0" w:color="auto"/>
        <w:bottom w:val="none" w:sz="0" w:space="0" w:color="auto"/>
        <w:right w:val="none" w:sz="0" w:space="0" w:color="auto"/>
      </w:divBdr>
    </w:div>
    <w:div w:id="632172042">
      <w:bodyDiv w:val="1"/>
      <w:marLeft w:val="0"/>
      <w:marRight w:val="0"/>
      <w:marTop w:val="0"/>
      <w:marBottom w:val="0"/>
      <w:divBdr>
        <w:top w:val="none" w:sz="0" w:space="0" w:color="auto"/>
        <w:left w:val="none" w:sz="0" w:space="0" w:color="auto"/>
        <w:bottom w:val="none" w:sz="0" w:space="0" w:color="auto"/>
        <w:right w:val="none" w:sz="0" w:space="0" w:color="auto"/>
      </w:divBdr>
    </w:div>
    <w:div w:id="633681974">
      <w:bodyDiv w:val="1"/>
      <w:marLeft w:val="0"/>
      <w:marRight w:val="0"/>
      <w:marTop w:val="0"/>
      <w:marBottom w:val="0"/>
      <w:divBdr>
        <w:top w:val="none" w:sz="0" w:space="0" w:color="auto"/>
        <w:left w:val="none" w:sz="0" w:space="0" w:color="auto"/>
        <w:bottom w:val="none" w:sz="0" w:space="0" w:color="auto"/>
        <w:right w:val="none" w:sz="0" w:space="0" w:color="auto"/>
      </w:divBdr>
    </w:div>
    <w:div w:id="674458820">
      <w:bodyDiv w:val="1"/>
      <w:marLeft w:val="0"/>
      <w:marRight w:val="0"/>
      <w:marTop w:val="0"/>
      <w:marBottom w:val="0"/>
      <w:divBdr>
        <w:top w:val="none" w:sz="0" w:space="0" w:color="auto"/>
        <w:left w:val="none" w:sz="0" w:space="0" w:color="auto"/>
        <w:bottom w:val="none" w:sz="0" w:space="0" w:color="auto"/>
        <w:right w:val="none" w:sz="0" w:space="0" w:color="auto"/>
      </w:divBdr>
    </w:div>
    <w:div w:id="679820662">
      <w:bodyDiv w:val="1"/>
      <w:marLeft w:val="0"/>
      <w:marRight w:val="0"/>
      <w:marTop w:val="0"/>
      <w:marBottom w:val="0"/>
      <w:divBdr>
        <w:top w:val="none" w:sz="0" w:space="0" w:color="auto"/>
        <w:left w:val="none" w:sz="0" w:space="0" w:color="auto"/>
        <w:bottom w:val="none" w:sz="0" w:space="0" w:color="auto"/>
        <w:right w:val="none" w:sz="0" w:space="0" w:color="auto"/>
      </w:divBdr>
    </w:div>
    <w:div w:id="688919899">
      <w:bodyDiv w:val="1"/>
      <w:marLeft w:val="0"/>
      <w:marRight w:val="0"/>
      <w:marTop w:val="0"/>
      <w:marBottom w:val="0"/>
      <w:divBdr>
        <w:top w:val="none" w:sz="0" w:space="0" w:color="auto"/>
        <w:left w:val="none" w:sz="0" w:space="0" w:color="auto"/>
        <w:bottom w:val="none" w:sz="0" w:space="0" w:color="auto"/>
        <w:right w:val="none" w:sz="0" w:space="0" w:color="auto"/>
      </w:divBdr>
    </w:div>
    <w:div w:id="744230671">
      <w:bodyDiv w:val="1"/>
      <w:marLeft w:val="0"/>
      <w:marRight w:val="0"/>
      <w:marTop w:val="0"/>
      <w:marBottom w:val="0"/>
      <w:divBdr>
        <w:top w:val="none" w:sz="0" w:space="0" w:color="auto"/>
        <w:left w:val="none" w:sz="0" w:space="0" w:color="auto"/>
        <w:bottom w:val="none" w:sz="0" w:space="0" w:color="auto"/>
        <w:right w:val="none" w:sz="0" w:space="0" w:color="auto"/>
      </w:divBdr>
    </w:div>
    <w:div w:id="753358251">
      <w:bodyDiv w:val="1"/>
      <w:marLeft w:val="0"/>
      <w:marRight w:val="0"/>
      <w:marTop w:val="0"/>
      <w:marBottom w:val="0"/>
      <w:divBdr>
        <w:top w:val="none" w:sz="0" w:space="0" w:color="auto"/>
        <w:left w:val="none" w:sz="0" w:space="0" w:color="auto"/>
        <w:bottom w:val="none" w:sz="0" w:space="0" w:color="auto"/>
        <w:right w:val="none" w:sz="0" w:space="0" w:color="auto"/>
      </w:divBdr>
    </w:div>
    <w:div w:id="759182683">
      <w:bodyDiv w:val="1"/>
      <w:marLeft w:val="0"/>
      <w:marRight w:val="0"/>
      <w:marTop w:val="0"/>
      <w:marBottom w:val="0"/>
      <w:divBdr>
        <w:top w:val="none" w:sz="0" w:space="0" w:color="auto"/>
        <w:left w:val="none" w:sz="0" w:space="0" w:color="auto"/>
        <w:bottom w:val="none" w:sz="0" w:space="0" w:color="auto"/>
        <w:right w:val="none" w:sz="0" w:space="0" w:color="auto"/>
      </w:divBdr>
    </w:div>
    <w:div w:id="770272774">
      <w:bodyDiv w:val="1"/>
      <w:marLeft w:val="0"/>
      <w:marRight w:val="0"/>
      <w:marTop w:val="0"/>
      <w:marBottom w:val="0"/>
      <w:divBdr>
        <w:top w:val="none" w:sz="0" w:space="0" w:color="auto"/>
        <w:left w:val="none" w:sz="0" w:space="0" w:color="auto"/>
        <w:bottom w:val="none" w:sz="0" w:space="0" w:color="auto"/>
        <w:right w:val="none" w:sz="0" w:space="0" w:color="auto"/>
      </w:divBdr>
    </w:div>
    <w:div w:id="782263116">
      <w:bodyDiv w:val="1"/>
      <w:marLeft w:val="0"/>
      <w:marRight w:val="0"/>
      <w:marTop w:val="0"/>
      <w:marBottom w:val="0"/>
      <w:divBdr>
        <w:top w:val="none" w:sz="0" w:space="0" w:color="auto"/>
        <w:left w:val="none" w:sz="0" w:space="0" w:color="auto"/>
        <w:bottom w:val="none" w:sz="0" w:space="0" w:color="auto"/>
        <w:right w:val="none" w:sz="0" w:space="0" w:color="auto"/>
      </w:divBdr>
    </w:div>
    <w:div w:id="794638871">
      <w:bodyDiv w:val="1"/>
      <w:marLeft w:val="0"/>
      <w:marRight w:val="0"/>
      <w:marTop w:val="0"/>
      <w:marBottom w:val="0"/>
      <w:divBdr>
        <w:top w:val="none" w:sz="0" w:space="0" w:color="auto"/>
        <w:left w:val="none" w:sz="0" w:space="0" w:color="auto"/>
        <w:bottom w:val="none" w:sz="0" w:space="0" w:color="auto"/>
        <w:right w:val="none" w:sz="0" w:space="0" w:color="auto"/>
      </w:divBdr>
    </w:div>
    <w:div w:id="839662454">
      <w:bodyDiv w:val="1"/>
      <w:marLeft w:val="0"/>
      <w:marRight w:val="0"/>
      <w:marTop w:val="0"/>
      <w:marBottom w:val="0"/>
      <w:divBdr>
        <w:top w:val="none" w:sz="0" w:space="0" w:color="auto"/>
        <w:left w:val="none" w:sz="0" w:space="0" w:color="auto"/>
        <w:bottom w:val="none" w:sz="0" w:space="0" w:color="auto"/>
        <w:right w:val="none" w:sz="0" w:space="0" w:color="auto"/>
      </w:divBdr>
    </w:div>
    <w:div w:id="875505057">
      <w:bodyDiv w:val="1"/>
      <w:marLeft w:val="0"/>
      <w:marRight w:val="0"/>
      <w:marTop w:val="0"/>
      <w:marBottom w:val="0"/>
      <w:divBdr>
        <w:top w:val="none" w:sz="0" w:space="0" w:color="auto"/>
        <w:left w:val="none" w:sz="0" w:space="0" w:color="auto"/>
        <w:bottom w:val="none" w:sz="0" w:space="0" w:color="auto"/>
        <w:right w:val="none" w:sz="0" w:space="0" w:color="auto"/>
      </w:divBdr>
    </w:div>
    <w:div w:id="892541189">
      <w:bodyDiv w:val="1"/>
      <w:marLeft w:val="0"/>
      <w:marRight w:val="0"/>
      <w:marTop w:val="0"/>
      <w:marBottom w:val="0"/>
      <w:divBdr>
        <w:top w:val="none" w:sz="0" w:space="0" w:color="auto"/>
        <w:left w:val="none" w:sz="0" w:space="0" w:color="auto"/>
        <w:bottom w:val="none" w:sz="0" w:space="0" w:color="auto"/>
        <w:right w:val="none" w:sz="0" w:space="0" w:color="auto"/>
      </w:divBdr>
    </w:div>
    <w:div w:id="893733434">
      <w:bodyDiv w:val="1"/>
      <w:marLeft w:val="0"/>
      <w:marRight w:val="0"/>
      <w:marTop w:val="0"/>
      <w:marBottom w:val="0"/>
      <w:divBdr>
        <w:top w:val="none" w:sz="0" w:space="0" w:color="auto"/>
        <w:left w:val="none" w:sz="0" w:space="0" w:color="auto"/>
        <w:bottom w:val="none" w:sz="0" w:space="0" w:color="auto"/>
        <w:right w:val="none" w:sz="0" w:space="0" w:color="auto"/>
      </w:divBdr>
    </w:div>
    <w:div w:id="903487677">
      <w:bodyDiv w:val="1"/>
      <w:marLeft w:val="0"/>
      <w:marRight w:val="0"/>
      <w:marTop w:val="0"/>
      <w:marBottom w:val="0"/>
      <w:divBdr>
        <w:top w:val="none" w:sz="0" w:space="0" w:color="auto"/>
        <w:left w:val="none" w:sz="0" w:space="0" w:color="auto"/>
        <w:bottom w:val="none" w:sz="0" w:space="0" w:color="auto"/>
        <w:right w:val="none" w:sz="0" w:space="0" w:color="auto"/>
      </w:divBdr>
    </w:div>
    <w:div w:id="924653502">
      <w:bodyDiv w:val="1"/>
      <w:marLeft w:val="0"/>
      <w:marRight w:val="0"/>
      <w:marTop w:val="0"/>
      <w:marBottom w:val="0"/>
      <w:divBdr>
        <w:top w:val="none" w:sz="0" w:space="0" w:color="auto"/>
        <w:left w:val="none" w:sz="0" w:space="0" w:color="auto"/>
        <w:bottom w:val="none" w:sz="0" w:space="0" w:color="auto"/>
        <w:right w:val="none" w:sz="0" w:space="0" w:color="auto"/>
      </w:divBdr>
    </w:div>
    <w:div w:id="925649954">
      <w:bodyDiv w:val="1"/>
      <w:marLeft w:val="0"/>
      <w:marRight w:val="0"/>
      <w:marTop w:val="0"/>
      <w:marBottom w:val="0"/>
      <w:divBdr>
        <w:top w:val="none" w:sz="0" w:space="0" w:color="auto"/>
        <w:left w:val="none" w:sz="0" w:space="0" w:color="auto"/>
        <w:bottom w:val="none" w:sz="0" w:space="0" w:color="auto"/>
        <w:right w:val="none" w:sz="0" w:space="0" w:color="auto"/>
      </w:divBdr>
    </w:div>
    <w:div w:id="937444251">
      <w:bodyDiv w:val="1"/>
      <w:marLeft w:val="0"/>
      <w:marRight w:val="0"/>
      <w:marTop w:val="0"/>
      <w:marBottom w:val="0"/>
      <w:divBdr>
        <w:top w:val="none" w:sz="0" w:space="0" w:color="auto"/>
        <w:left w:val="none" w:sz="0" w:space="0" w:color="auto"/>
        <w:bottom w:val="none" w:sz="0" w:space="0" w:color="auto"/>
        <w:right w:val="none" w:sz="0" w:space="0" w:color="auto"/>
      </w:divBdr>
    </w:div>
    <w:div w:id="948707419">
      <w:bodyDiv w:val="1"/>
      <w:marLeft w:val="0"/>
      <w:marRight w:val="0"/>
      <w:marTop w:val="0"/>
      <w:marBottom w:val="0"/>
      <w:divBdr>
        <w:top w:val="none" w:sz="0" w:space="0" w:color="auto"/>
        <w:left w:val="none" w:sz="0" w:space="0" w:color="auto"/>
        <w:bottom w:val="none" w:sz="0" w:space="0" w:color="auto"/>
        <w:right w:val="none" w:sz="0" w:space="0" w:color="auto"/>
      </w:divBdr>
    </w:div>
    <w:div w:id="949313588">
      <w:bodyDiv w:val="1"/>
      <w:marLeft w:val="0"/>
      <w:marRight w:val="0"/>
      <w:marTop w:val="0"/>
      <w:marBottom w:val="0"/>
      <w:divBdr>
        <w:top w:val="none" w:sz="0" w:space="0" w:color="auto"/>
        <w:left w:val="none" w:sz="0" w:space="0" w:color="auto"/>
        <w:bottom w:val="none" w:sz="0" w:space="0" w:color="auto"/>
        <w:right w:val="none" w:sz="0" w:space="0" w:color="auto"/>
      </w:divBdr>
    </w:div>
    <w:div w:id="950403597">
      <w:bodyDiv w:val="1"/>
      <w:marLeft w:val="0"/>
      <w:marRight w:val="0"/>
      <w:marTop w:val="0"/>
      <w:marBottom w:val="0"/>
      <w:divBdr>
        <w:top w:val="none" w:sz="0" w:space="0" w:color="auto"/>
        <w:left w:val="none" w:sz="0" w:space="0" w:color="auto"/>
        <w:bottom w:val="none" w:sz="0" w:space="0" w:color="auto"/>
        <w:right w:val="none" w:sz="0" w:space="0" w:color="auto"/>
      </w:divBdr>
    </w:div>
    <w:div w:id="983856225">
      <w:bodyDiv w:val="1"/>
      <w:marLeft w:val="0"/>
      <w:marRight w:val="0"/>
      <w:marTop w:val="0"/>
      <w:marBottom w:val="0"/>
      <w:divBdr>
        <w:top w:val="none" w:sz="0" w:space="0" w:color="auto"/>
        <w:left w:val="none" w:sz="0" w:space="0" w:color="auto"/>
        <w:bottom w:val="none" w:sz="0" w:space="0" w:color="auto"/>
        <w:right w:val="none" w:sz="0" w:space="0" w:color="auto"/>
      </w:divBdr>
    </w:div>
    <w:div w:id="1009286468">
      <w:bodyDiv w:val="1"/>
      <w:marLeft w:val="0"/>
      <w:marRight w:val="0"/>
      <w:marTop w:val="0"/>
      <w:marBottom w:val="0"/>
      <w:divBdr>
        <w:top w:val="none" w:sz="0" w:space="0" w:color="auto"/>
        <w:left w:val="none" w:sz="0" w:space="0" w:color="auto"/>
        <w:bottom w:val="none" w:sz="0" w:space="0" w:color="auto"/>
        <w:right w:val="none" w:sz="0" w:space="0" w:color="auto"/>
      </w:divBdr>
    </w:div>
    <w:div w:id="1031690166">
      <w:bodyDiv w:val="1"/>
      <w:marLeft w:val="0"/>
      <w:marRight w:val="0"/>
      <w:marTop w:val="0"/>
      <w:marBottom w:val="0"/>
      <w:divBdr>
        <w:top w:val="none" w:sz="0" w:space="0" w:color="auto"/>
        <w:left w:val="none" w:sz="0" w:space="0" w:color="auto"/>
        <w:bottom w:val="none" w:sz="0" w:space="0" w:color="auto"/>
        <w:right w:val="none" w:sz="0" w:space="0" w:color="auto"/>
      </w:divBdr>
    </w:div>
    <w:div w:id="1045518754">
      <w:bodyDiv w:val="1"/>
      <w:marLeft w:val="0"/>
      <w:marRight w:val="0"/>
      <w:marTop w:val="0"/>
      <w:marBottom w:val="0"/>
      <w:divBdr>
        <w:top w:val="none" w:sz="0" w:space="0" w:color="auto"/>
        <w:left w:val="none" w:sz="0" w:space="0" w:color="auto"/>
        <w:bottom w:val="none" w:sz="0" w:space="0" w:color="auto"/>
        <w:right w:val="none" w:sz="0" w:space="0" w:color="auto"/>
      </w:divBdr>
    </w:div>
    <w:div w:id="1066879188">
      <w:bodyDiv w:val="1"/>
      <w:marLeft w:val="0"/>
      <w:marRight w:val="0"/>
      <w:marTop w:val="0"/>
      <w:marBottom w:val="0"/>
      <w:divBdr>
        <w:top w:val="none" w:sz="0" w:space="0" w:color="auto"/>
        <w:left w:val="none" w:sz="0" w:space="0" w:color="auto"/>
        <w:bottom w:val="none" w:sz="0" w:space="0" w:color="auto"/>
        <w:right w:val="none" w:sz="0" w:space="0" w:color="auto"/>
      </w:divBdr>
    </w:div>
    <w:div w:id="1073161048">
      <w:bodyDiv w:val="1"/>
      <w:marLeft w:val="0"/>
      <w:marRight w:val="0"/>
      <w:marTop w:val="0"/>
      <w:marBottom w:val="0"/>
      <w:divBdr>
        <w:top w:val="none" w:sz="0" w:space="0" w:color="auto"/>
        <w:left w:val="none" w:sz="0" w:space="0" w:color="auto"/>
        <w:bottom w:val="none" w:sz="0" w:space="0" w:color="auto"/>
        <w:right w:val="none" w:sz="0" w:space="0" w:color="auto"/>
      </w:divBdr>
    </w:div>
    <w:div w:id="1090086041">
      <w:bodyDiv w:val="1"/>
      <w:marLeft w:val="0"/>
      <w:marRight w:val="0"/>
      <w:marTop w:val="0"/>
      <w:marBottom w:val="0"/>
      <w:divBdr>
        <w:top w:val="none" w:sz="0" w:space="0" w:color="auto"/>
        <w:left w:val="none" w:sz="0" w:space="0" w:color="auto"/>
        <w:bottom w:val="none" w:sz="0" w:space="0" w:color="auto"/>
        <w:right w:val="none" w:sz="0" w:space="0" w:color="auto"/>
      </w:divBdr>
    </w:div>
    <w:div w:id="1134249405">
      <w:bodyDiv w:val="1"/>
      <w:marLeft w:val="0"/>
      <w:marRight w:val="0"/>
      <w:marTop w:val="0"/>
      <w:marBottom w:val="0"/>
      <w:divBdr>
        <w:top w:val="none" w:sz="0" w:space="0" w:color="auto"/>
        <w:left w:val="none" w:sz="0" w:space="0" w:color="auto"/>
        <w:bottom w:val="none" w:sz="0" w:space="0" w:color="auto"/>
        <w:right w:val="none" w:sz="0" w:space="0" w:color="auto"/>
      </w:divBdr>
    </w:div>
    <w:div w:id="1137450334">
      <w:bodyDiv w:val="1"/>
      <w:marLeft w:val="0"/>
      <w:marRight w:val="0"/>
      <w:marTop w:val="0"/>
      <w:marBottom w:val="0"/>
      <w:divBdr>
        <w:top w:val="none" w:sz="0" w:space="0" w:color="auto"/>
        <w:left w:val="none" w:sz="0" w:space="0" w:color="auto"/>
        <w:bottom w:val="none" w:sz="0" w:space="0" w:color="auto"/>
        <w:right w:val="none" w:sz="0" w:space="0" w:color="auto"/>
      </w:divBdr>
    </w:div>
    <w:div w:id="1152717026">
      <w:bodyDiv w:val="1"/>
      <w:marLeft w:val="0"/>
      <w:marRight w:val="0"/>
      <w:marTop w:val="0"/>
      <w:marBottom w:val="0"/>
      <w:divBdr>
        <w:top w:val="none" w:sz="0" w:space="0" w:color="auto"/>
        <w:left w:val="none" w:sz="0" w:space="0" w:color="auto"/>
        <w:bottom w:val="none" w:sz="0" w:space="0" w:color="auto"/>
        <w:right w:val="none" w:sz="0" w:space="0" w:color="auto"/>
      </w:divBdr>
    </w:div>
    <w:div w:id="1171723910">
      <w:bodyDiv w:val="1"/>
      <w:marLeft w:val="0"/>
      <w:marRight w:val="0"/>
      <w:marTop w:val="0"/>
      <w:marBottom w:val="0"/>
      <w:divBdr>
        <w:top w:val="none" w:sz="0" w:space="0" w:color="auto"/>
        <w:left w:val="none" w:sz="0" w:space="0" w:color="auto"/>
        <w:bottom w:val="none" w:sz="0" w:space="0" w:color="auto"/>
        <w:right w:val="none" w:sz="0" w:space="0" w:color="auto"/>
      </w:divBdr>
    </w:div>
    <w:div w:id="1176726072">
      <w:bodyDiv w:val="1"/>
      <w:marLeft w:val="0"/>
      <w:marRight w:val="0"/>
      <w:marTop w:val="0"/>
      <w:marBottom w:val="0"/>
      <w:divBdr>
        <w:top w:val="none" w:sz="0" w:space="0" w:color="auto"/>
        <w:left w:val="none" w:sz="0" w:space="0" w:color="auto"/>
        <w:bottom w:val="none" w:sz="0" w:space="0" w:color="auto"/>
        <w:right w:val="none" w:sz="0" w:space="0" w:color="auto"/>
      </w:divBdr>
    </w:div>
    <w:div w:id="1208181246">
      <w:bodyDiv w:val="1"/>
      <w:marLeft w:val="0"/>
      <w:marRight w:val="0"/>
      <w:marTop w:val="0"/>
      <w:marBottom w:val="0"/>
      <w:divBdr>
        <w:top w:val="none" w:sz="0" w:space="0" w:color="auto"/>
        <w:left w:val="none" w:sz="0" w:space="0" w:color="auto"/>
        <w:bottom w:val="none" w:sz="0" w:space="0" w:color="auto"/>
        <w:right w:val="none" w:sz="0" w:space="0" w:color="auto"/>
      </w:divBdr>
    </w:div>
    <w:div w:id="1229999692">
      <w:bodyDiv w:val="1"/>
      <w:marLeft w:val="0"/>
      <w:marRight w:val="0"/>
      <w:marTop w:val="0"/>
      <w:marBottom w:val="0"/>
      <w:divBdr>
        <w:top w:val="none" w:sz="0" w:space="0" w:color="auto"/>
        <w:left w:val="none" w:sz="0" w:space="0" w:color="auto"/>
        <w:bottom w:val="none" w:sz="0" w:space="0" w:color="auto"/>
        <w:right w:val="none" w:sz="0" w:space="0" w:color="auto"/>
      </w:divBdr>
    </w:div>
    <w:div w:id="1257712179">
      <w:bodyDiv w:val="1"/>
      <w:marLeft w:val="0"/>
      <w:marRight w:val="0"/>
      <w:marTop w:val="0"/>
      <w:marBottom w:val="0"/>
      <w:divBdr>
        <w:top w:val="none" w:sz="0" w:space="0" w:color="auto"/>
        <w:left w:val="none" w:sz="0" w:space="0" w:color="auto"/>
        <w:bottom w:val="none" w:sz="0" w:space="0" w:color="auto"/>
        <w:right w:val="none" w:sz="0" w:space="0" w:color="auto"/>
      </w:divBdr>
    </w:div>
    <w:div w:id="1271662018">
      <w:bodyDiv w:val="1"/>
      <w:marLeft w:val="0"/>
      <w:marRight w:val="0"/>
      <w:marTop w:val="0"/>
      <w:marBottom w:val="0"/>
      <w:divBdr>
        <w:top w:val="none" w:sz="0" w:space="0" w:color="auto"/>
        <w:left w:val="none" w:sz="0" w:space="0" w:color="auto"/>
        <w:bottom w:val="none" w:sz="0" w:space="0" w:color="auto"/>
        <w:right w:val="none" w:sz="0" w:space="0" w:color="auto"/>
      </w:divBdr>
    </w:div>
    <w:div w:id="1296453266">
      <w:bodyDiv w:val="1"/>
      <w:marLeft w:val="0"/>
      <w:marRight w:val="0"/>
      <w:marTop w:val="0"/>
      <w:marBottom w:val="0"/>
      <w:divBdr>
        <w:top w:val="none" w:sz="0" w:space="0" w:color="auto"/>
        <w:left w:val="none" w:sz="0" w:space="0" w:color="auto"/>
        <w:bottom w:val="none" w:sz="0" w:space="0" w:color="auto"/>
        <w:right w:val="none" w:sz="0" w:space="0" w:color="auto"/>
      </w:divBdr>
    </w:div>
    <w:div w:id="1301576085">
      <w:bodyDiv w:val="1"/>
      <w:marLeft w:val="0"/>
      <w:marRight w:val="0"/>
      <w:marTop w:val="0"/>
      <w:marBottom w:val="0"/>
      <w:divBdr>
        <w:top w:val="none" w:sz="0" w:space="0" w:color="auto"/>
        <w:left w:val="none" w:sz="0" w:space="0" w:color="auto"/>
        <w:bottom w:val="none" w:sz="0" w:space="0" w:color="auto"/>
        <w:right w:val="none" w:sz="0" w:space="0" w:color="auto"/>
      </w:divBdr>
    </w:div>
    <w:div w:id="1330905198">
      <w:bodyDiv w:val="1"/>
      <w:marLeft w:val="0"/>
      <w:marRight w:val="0"/>
      <w:marTop w:val="0"/>
      <w:marBottom w:val="0"/>
      <w:divBdr>
        <w:top w:val="none" w:sz="0" w:space="0" w:color="auto"/>
        <w:left w:val="none" w:sz="0" w:space="0" w:color="auto"/>
        <w:bottom w:val="none" w:sz="0" w:space="0" w:color="auto"/>
        <w:right w:val="none" w:sz="0" w:space="0" w:color="auto"/>
      </w:divBdr>
    </w:div>
    <w:div w:id="1351570231">
      <w:bodyDiv w:val="1"/>
      <w:marLeft w:val="0"/>
      <w:marRight w:val="0"/>
      <w:marTop w:val="0"/>
      <w:marBottom w:val="0"/>
      <w:divBdr>
        <w:top w:val="none" w:sz="0" w:space="0" w:color="auto"/>
        <w:left w:val="none" w:sz="0" w:space="0" w:color="auto"/>
        <w:bottom w:val="none" w:sz="0" w:space="0" w:color="auto"/>
        <w:right w:val="none" w:sz="0" w:space="0" w:color="auto"/>
      </w:divBdr>
    </w:div>
    <w:div w:id="1352336498">
      <w:bodyDiv w:val="1"/>
      <w:marLeft w:val="0"/>
      <w:marRight w:val="0"/>
      <w:marTop w:val="0"/>
      <w:marBottom w:val="0"/>
      <w:divBdr>
        <w:top w:val="none" w:sz="0" w:space="0" w:color="auto"/>
        <w:left w:val="none" w:sz="0" w:space="0" w:color="auto"/>
        <w:bottom w:val="none" w:sz="0" w:space="0" w:color="auto"/>
        <w:right w:val="none" w:sz="0" w:space="0" w:color="auto"/>
      </w:divBdr>
    </w:div>
    <w:div w:id="1359045345">
      <w:bodyDiv w:val="1"/>
      <w:marLeft w:val="0"/>
      <w:marRight w:val="0"/>
      <w:marTop w:val="0"/>
      <w:marBottom w:val="0"/>
      <w:divBdr>
        <w:top w:val="none" w:sz="0" w:space="0" w:color="auto"/>
        <w:left w:val="none" w:sz="0" w:space="0" w:color="auto"/>
        <w:bottom w:val="none" w:sz="0" w:space="0" w:color="auto"/>
        <w:right w:val="none" w:sz="0" w:space="0" w:color="auto"/>
      </w:divBdr>
    </w:div>
    <w:div w:id="1377974640">
      <w:bodyDiv w:val="1"/>
      <w:marLeft w:val="0"/>
      <w:marRight w:val="0"/>
      <w:marTop w:val="0"/>
      <w:marBottom w:val="0"/>
      <w:divBdr>
        <w:top w:val="none" w:sz="0" w:space="0" w:color="auto"/>
        <w:left w:val="none" w:sz="0" w:space="0" w:color="auto"/>
        <w:bottom w:val="none" w:sz="0" w:space="0" w:color="auto"/>
        <w:right w:val="none" w:sz="0" w:space="0" w:color="auto"/>
      </w:divBdr>
    </w:div>
    <w:div w:id="1382902418">
      <w:bodyDiv w:val="1"/>
      <w:marLeft w:val="0"/>
      <w:marRight w:val="0"/>
      <w:marTop w:val="0"/>
      <w:marBottom w:val="0"/>
      <w:divBdr>
        <w:top w:val="none" w:sz="0" w:space="0" w:color="auto"/>
        <w:left w:val="none" w:sz="0" w:space="0" w:color="auto"/>
        <w:bottom w:val="none" w:sz="0" w:space="0" w:color="auto"/>
        <w:right w:val="none" w:sz="0" w:space="0" w:color="auto"/>
      </w:divBdr>
    </w:div>
    <w:div w:id="1415083732">
      <w:bodyDiv w:val="1"/>
      <w:marLeft w:val="0"/>
      <w:marRight w:val="0"/>
      <w:marTop w:val="0"/>
      <w:marBottom w:val="0"/>
      <w:divBdr>
        <w:top w:val="none" w:sz="0" w:space="0" w:color="auto"/>
        <w:left w:val="none" w:sz="0" w:space="0" w:color="auto"/>
        <w:bottom w:val="none" w:sz="0" w:space="0" w:color="auto"/>
        <w:right w:val="none" w:sz="0" w:space="0" w:color="auto"/>
      </w:divBdr>
    </w:div>
    <w:div w:id="1448235992">
      <w:bodyDiv w:val="1"/>
      <w:marLeft w:val="0"/>
      <w:marRight w:val="0"/>
      <w:marTop w:val="0"/>
      <w:marBottom w:val="0"/>
      <w:divBdr>
        <w:top w:val="none" w:sz="0" w:space="0" w:color="auto"/>
        <w:left w:val="none" w:sz="0" w:space="0" w:color="auto"/>
        <w:bottom w:val="none" w:sz="0" w:space="0" w:color="auto"/>
        <w:right w:val="none" w:sz="0" w:space="0" w:color="auto"/>
      </w:divBdr>
    </w:div>
    <w:div w:id="1452820713">
      <w:bodyDiv w:val="1"/>
      <w:marLeft w:val="0"/>
      <w:marRight w:val="0"/>
      <w:marTop w:val="0"/>
      <w:marBottom w:val="0"/>
      <w:divBdr>
        <w:top w:val="none" w:sz="0" w:space="0" w:color="auto"/>
        <w:left w:val="none" w:sz="0" w:space="0" w:color="auto"/>
        <w:bottom w:val="none" w:sz="0" w:space="0" w:color="auto"/>
        <w:right w:val="none" w:sz="0" w:space="0" w:color="auto"/>
      </w:divBdr>
    </w:div>
    <w:div w:id="1460143271">
      <w:bodyDiv w:val="1"/>
      <w:marLeft w:val="0"/>
      <w:marRight w:val="0"/>
      <w:marTop w:val="0"/>
      <w:marBottom w:val="0"/>
      <w:divBdr>
        <w:top w:val="none" w:sz="0" w:space="0" w:color="auto"/>
        <w:left w:val="none" w:sz="0" w:space="0" w:color="auto"/>
        <w:bottom w:val="none" w:sz="0" w:space="0" w:color="auto"/>
        <w:right w:val="none" w:sz="0" w:space="0" w:color="auto"/>
      </w:divBdr>
    </w:div>
    <w:div w:id="1462724332">
      <w:bodyDiv w:val="1"/>
      <w:marLeft w:val="0"/>
      <w:marRight w:val="0"/>
      <w:marTop w:val="0"/>
      <w:marBottom w:val="0"/>
      <w:divBdr>
        <w:top w:val="none" w:sz="0" w:space="0" w:color="auto"/>
        <w:left w:val="none" w:sz="0" w:space="0" w:color="auto"/>
        <w:bottom w:val="none" w:sz="0" w:space="0" w:color="auto"/>
        <w:right w:val="none" w:sz="0" w:space="0" w:color="auto"/>
      </w:divBdr>
    </w:div>
    <w:div w:id="1464956542">
      <w:bodyDiv w:val="1"/>
      <w:marLeft w:val="0"/>
      <w:marRight w:val="0"/>
      <w:marTop w:val="0"/>
      <w:marBottom w:val="0"/>
      <w:divBdr>
        <w:top w:val="none" w:sz="0" w:space="0" w:color="auto"/>
        <w:left w:val="none" w:sz="0" w:space="0" w:color="auto"/>
        <w:bottom w:val="none" w:sz="0" w:space="0" w:color="auto"/>
        <w:right w:val="none" w:sz="0" w:space="0" w:color="auto"/>
      </w:divBdr>
    </w:div>
    <w:div w:id="1503084553">
      <w:bodyDiv w:val="1"/>
      <w:marLeft w:val="0"/>
      <w:marRight w:val="0"/>
      <w:marTop w:val="0"/>
      <w:marBottom w:val="0"/>
      <w:divBdr>
        <w:top w:val="none" w:sz="0" w:space="0" w:color="auto"/>
        <w:left w:val="none" w:sz="0" w:space="0" w:color="auto"/>
        <w:bottom w:val="none" w:sz="0" w:space="0" w:color="auto"/>
        <w:right w:val="none" w:sz="0" w:space="0" w:color="auto"/>
      </w:divBdr>
    </w:div>
    <w:div w:id="1509710434">
      <w:bodyDiv w:val="1"/>
      <w:marLeft w:val="0"/>
      <w:marRight w:val="0"/>
      <w:marTop w:val="0"/>
      <w:marBottom w:val="0"/>
      <w:divBdr>
        <w:top w:val="none" w:sz="0" w:space="0" w:color="auto"/>
        <w:left w:val="none" w:sz="0" w:space="0" w:color="auto"/>
        <w:bottom w:val="none" w:sz="0" w:space="0" w:color="auto"/>
        <w:right w:val="none" w:sz="0" w:space="0" w:color="auto"/>
      </w:divBdr>
    </w:div>
    <w:div w:id="1532912019">
      <w:bodyDiv w:val="1"/>
      <w:marLeft w:val="0"/>
      <w:marRight w:val="0"/>
      <w:marTop w:val="0"/>
      <w:marBottom w:val="0"/>
      <w:divBdr>
        <w:top w:val="none" w:sz="0" w:space="0" w:color="auto"/>
        <w:left w:val="none" w:sz="0" w:space="0" w:color="auto"/>
        <w:bottom w:val="none" w:sz="0" w:space="0" w:color="auto"/>
        <w:right w:val="none" w:sz="0" w:space="0" w:color="auto"/>
      </w:divBdr>
    </w:div>
    <w:div w:id="1551306274">
      <w:bodyDiv w:val="1"/>
      <w:marLeft w:val="0"/>
      <w:marRight w:val="0"/>
      <w:marTop w:val="0"/>
      <w:marBottom w:val="0"/>
      <w:divBdr>
        <w:top w:val="none" w:sz="0" w:space="0" w:color="auto"/>
        <w:left w:val="none" w:sz="0" w:space="0" w:color="auto"/>
        <w:bottom w:val="none" w:sz="0" w:space="0" w:color="auto"/>
        <w:right w:val="none" w:sz="0" w:space="0" w:color="auto"/>
      </w:divBdr>
    </w:div>
    <w:div w:id="1564102888">
      <w:bodyDiv w:val="1"/>
      <w:marLeft w:val="0"/>
      <w:marRight w:val="0"/>
      <w:marTop w:val="0"/>
      <w:marBottom w:val="0"/>
      <w:divBdr>
        <w:top w:val="none" w:sz="0" w:space="0" w:color="auto"/>
        <w:left w:val="none" w:sz="0" w:space="0" w:color="auto"/>
        <w:bottom w:val="none" w:sz="0" w:space="0" w:color="auto"/>
        <w:right w:val="none" w:sz="0" w:space="0" w:color="auto"/>
      </w:divBdr>
    </w:div>
    <w:div w:id="1567377559">
      <w:bodyDiv w:val="1"/>
      <w:marLeft w:val="0"/>
      <w:marRight w:val="0"/>
      <w:marTop w:val="0"/>
      <w:marBottom w:val="0"/>
      <w:divBdr>
        <w:top w:val="none" w:sz="0" w:space="0" w:color="auto"/>
        <w:left w:val="none" w:sz="0" w:space="0" w:color="auto"/>
        <w:bottom w:val="none" w:sz="0" w:space="0" w:color="auto"/>
        <w:right w:val="none" w:sz="0" w:space="0" w:color="auto"/>
      </w:divBdr>
    </w:div>
    <w:div w:id="1581600835">
      <w:bodyDiv w:val="1"/>
      <w:marLeft w:val="0"/>
      <w:marRight w:val="0"/>
      <w:marTop w:val="0"/>
      <w:marBottom w:val="0"/>
      <w:divBdr>
        <w:top w:val="none" w:sz="0" w:space="0" w:color="auto"/>
        <w:left w:val="none" w:sz="0" w:space="0" w:color="auto"/>
        <w:bottom w:val="none" w:sz="0" w:space="0" w:color="auto"/>
        <w:right w:val="none" w:sz="0" w:space="0" w:color="auto"/>
      </w:divBdr>
    </w:div>
    <w:div w:id="1582443103">
      <w:bodyDiv w:val="1"/>
      <w:marLeft w:val="0"/>
      <w:marRight w:val="0"/>
      <w:marTop w:val="0"/>
      <w:marBottom w:val="0"/>
      <w:divBdr>
        <w:top w:val="none" w:sz="0" w:space="0" w:color="auto"/>
        <w:left w:val="none" w:sz="0" w:space="0" w:color="auto"/>
        <w:bottom w:val="none" w:sz="0" w:space="0" w:color="auto"/>
        <w:right w:val="none" w:sz="0" w:space="0" w:color="auto"/>
      </w:divBdr>
    </w:div>
    <w:div w:id="1583643931">
      <w:bodyDiv w:val="1"/>
      <w:marLeft w:val="0"/>
      <w:marRight w:val="0"/>
      <w:marTop w:val="0"/>
      <w:marBottom w:val="0"/>
      <w:divBdr>
        <w:top w:val="none" w:sz="0" w:space="0" w:color="auto"/>
        <w:left w:val="none" w:sz="0" w:space="0" w:color="auto"/>
        <w:bottom w:val="none" w:sz="0" w:space="0" w:color="auto"/>
        <w:right w:val="none" w:sz="0" w:space="0" w:color="auto"/>
      </w:divBdr>
    </w:div>
    <w:div w:id="1589533238">
      <w:bodyDiv w:val="1"/>
      <w:marLeft w:val="0"/>
      <w:marRight w:val="0"/>
      <w:marTop w:val="0"/>
      <w:marBottom w:val="0"/>
      <w:divBdr>
        <w:top w:val="none" w:sz="0" w:space="0" w:color="auto"/>
        <w:left w:val="none" w:sz="0" w:space="0" w:color="auto"/>
        <w:bottom w:val="none" w:sz="0" w:space="0" w:color="auto"/>
        <w:right w:val="none" w:sz="0" w:space="0" w:color="auto"/>
      </w:divBdr>
    </w:div>
    <w:div w:id="1638417086">
      <w:bodyDiv w:val="1"/>
      <w:marLeft w:val="0"/>
      <w:marRight w:val="0"/>
      <w:marTop w:val="0"/>
      <w:marBottom w:val="0"/>
      <w:divBdr>
        <w:top w:val="none" w:sz="0" w:space="0" w:color="auto"/>
        <w:left w:val="none" w:sz="0" w:space="0" w:color="auto"/>
        <w:bottom w:val="none" w:sz="0" w:space="0" w:color="auto"/>
        <w:right w:val="none" w:sz="0" w:space="0" w:color="auto"/>
      </w:divBdr>
    </w:div>
    <w:div w:id="1639144488">
      <w:bodyDiv w:val="1"/>
      <w:marLeft w:val="0"/>
      <w:marRight w:val="0"/>
      <w:marTop w:val="0"/>
      <w:marBottom w:val="0"/>
      <w:divBdr>
        <w:top w:val="none" w:sz="0" w:space="0" w:color="auto"/>
        <w:left w:val="none" w:sz="0" w:space="0" w:color="auto"/>
        <w:bottom w:val="none" w:sz="0" w:space="0" w:color="auto"/>
        <w:right w:val="none" w:sz="0" w:space="0" w:color="auto"/>
      </w:divBdr>
    </w:div>
    <w:div w:id="1744329010">
      <w:bodyDiv w:val="1"/>
      <w:marLeft w:val="0"/>
      <w:marRight w:val="0"/>
      <w:marTop w:val="0"/>
      <w:marBottom w:val="0"/>
      <w:divBdr>
        <w:top w:val="none" w:sz="0" w:space="0" w:color="auto"/>
        <w:left w:val="none" w:sz="0" w:space="0" w:color="auto"/>
        <w:bottom w:val="none" w:sz="0" w:space="0" w:color="auto"/>
        <w:right w:val="none" w:sz="0" w:space="0" w:color="auto"/>
      </w:divBdr>
    </w:div>
    <w:div w:id="1773355580">
      <w:bodyDiv w:val="1"/>
      <w:marLeft w:val="0"/>
      <w:marRight w:val="0"/>
      <w:marTop w:val="0"/>
      <w:marBottom w:val="0"/>
      <w:divBdr>
        <w:top w:val="none" w:sz="0" w:space="0" w:color="auto"/>
        <w:left w:val="none" w:sz="0" w:space="0" w:color="auto"/>
        <w:bottom w:val="none" w:sz="0" w:space="0" w:color="auto"/>
        <w:right w:val="none" w:sz="0" w:space="0" w:color="auto"/>
      </w:divBdr>
    </w:div>
    <w:div w:id="1778941222">
      <w:bodyDiv w:val="1"/>
      <w:marLeft w:val="0"/>
      <w:marRight w:val="0"/>
      <w:marTop w:val="0"/>
      <w:marBottom w:val="0"/>
      <w:divBdr>
        <w:top w:val="none" w:sz="0" w:space="0" w:color="auto"/>
        <w:left w:val="none" w:sz="0" w:space="0" w:color="auto"/>
        <w:bottom w:val="none" w:sz="0" w:space="0" w:color="auto"/>
        <w:right w:val="none" w:sz="0" w:space="0" w:color="auto"/>
      </w:divBdr>
    </w:div>
    <w:div w:id="1798448569">
      <w:bodyDiv w:val="1"/>
      <w:marLeft w:val="0"/>
      <w:marRight w:val="0"/>
      <w:marTop w:val="0"/>
      <w:marBottom w:val="0"/>
      <w:divBdr>
        <w:top w:val="none" w:sz="0" w:space="0" w:color="auto"/>
        <w:left w:val="none" w:sz="0" w:space="0" w:color="auto"/>
        <w:bottom w:val="none" w:sz="0" w:space="0" w:color="auto"/>
        <w:right w:val="none" w:sz="0" w:space="0" w:color="auto"/>
      </w:divBdr>
    </w:div>
    <w:div w:id="1834176224">
      <w:bodyDiv w:val="1"/>
      <w:marLeft w:val="0"/>
      <w:marRight w:val="0"/>
      <w:marTop w:val="0"/>
      <w:marBottom w:val="0"/>
      <w:divBdr>
        <w:top w:val="none" w:sz="0" w:space="0" w:color="auto"/>
        <w:left w:val="none" w:sz="0" w:space="0" w:color="auto"/>
        <w:bottom w:val="none" w:sz="0" w:space="0" w:color="auto"/>
        <w:right w:val="none" w:sz="0" w:space="0" w:color="auto"/>
      </w:divBdr>
    </w:div>
    <w:div w:id="1841237835">
      <w:bodyDiv w:val="1"/>
      <w:marLeft w:val="0"/>
      <w:marRight w:val="0"/>
      <w:marTop w:val="0"/>
      <w:marBottom w:val="0"/>
      <w:divBdr>
        <w:top w:val="none" w:sz="0" w:space="0" w:color="auto"/>
        <w:left w:val="none" w:sz="0" w:space="0" w:color="auto"/>
        <w:bottom w:val="none" w:sz="0" w:space="0" w:color="auto"/>
        <w:right w:val="none" w:sz="0" w:space="0" w:color="auto"/>
      </w:divBdr>
    </w:div>
    <w:div w:id="1901549044">
      <w:bodyDiv w:val="1"/>
      <w:marLeft w:val="0"/>
      <w:marRight w:val="0"/>
      <w:marTop w:val="0"/>
      <w:marBottom w:val="0"/>
      <w:divBdr>
        <w:top w:val="none" w:sz="0" w:space="0" w:color="auto"/>
        <w:left w:val="none" w:sz="0" w:space="0" w:color="auto"/>
        <w:bottom w:val="none" w:sz="0" w:space="0" w:color="auto"/>
        <w:right w:val="none" w:sz="0" w:space="0" w:color="auto"/>
      </w:divBdr>
    </w:div>
    <w:div w:id="1992907773">
      <w:bodyDiv w:val="1"/>
      <w:marLeft w:val="0"/>
      <w:marRight w:val="0"/>
      <w:marTop w:val="0"/>
      <w:marBottom w:val="0"/>
      <w:divBdr>
        <w:top w:val="none" w:sz="0" w:space="0" w:color="auto"/>
        <w:left w:val="none" w:sz="0" w:space="0" w:color="auto"/>
        <w:bottom w:val="none" w:sz="0" w:space="0" w:color="auto"/>
        <w:right w:val="none" w:sz="0" w:space="0" w:color="auto"/>
      </w:divBdr>
    </w:div>
    <w:div w:id="2000570761">
      <w:bodyDiv w:val="1"/>
      <w:marLeft w:val="0"/>
      <w:marRight w:val="0"/>
      <w:marTop w:val="0"/>
      <w:marBottom w:val="0"/>
      <w:divBdr>
        <w:top w:val="none" w:sz="0" w:space="0" w:color="auto"/>
        <w:left w:val="none" w:sz="0" w:space="0" w:color="auto"/>
        <w:bottom w:val="none" w:sz="0" w:space="0" w:color="auto"/>
        <w:right w:val="none" w:sz="0" w:space="0" w:color="auto"/>
      </w:divBdr>
    </w:div>
    <w:div w:id="2055033194">
      <w:bodyDiv w:val="1"/>
      <w:marLeft w:val="0"/>
      <w:marRight w:val="0"/>
      <w:marTop w:val="0"/>
      <w:marBottom w:val="0"/>
      <w:divBdr>
        <w:top w:val="none" w:sz="0" w:space="0" w:color="auto"/>
        <w:left w:val="none" w:sz="0" w:space="0" w:color="auto"/>
        <w:bottom w:val="none" w:sz="0" w:space="0" w:color="auto"/>
        <w:right w:val="none" w:sz="0" w:space="0" w:color="auto"/>
      </w:divBdr>
    </w:div>
    <w:div w:id="20585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oa.virginia.gov/Payroll/Payroll_Bulletins/Payroll_Bulletins_Mai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3671-C2A6-4254-B490-5900F378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2373</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14821</CharactersWithSpaces>
  <SharedDoc>false</SharedDoc>
  <HLinks>
    <vt:vector size="24" baseType="variant">
      <vt:variant>
        <vt:i4>3276801</vt:i4>
      </vt:variant>
      <vt:variant>
        <vt:i4>3</vt:i4>
      </vt:variant>
      <vt:variant>
        <vt:i4>0</vt:i4>
      </vt:variant>
      <vt:variant>
        <vt:i4>5</vt:i4>
      </vt:variant>
      <vt:variant>
        <vt:lpwstr>mailto:denise.halderman@doa.virginia.gov</vt:lpwstr>
      </vt:variant>
      <vt:variant>
        <vt:lpwstr/>
      </vt:variant>
      <vt:variant>
        <vt:i4>8061003</vt:i4>
      </vt:variant>
      <vt:variant>
        <vt:i4>0</vt:i4>
      </vt:variant>
      <vt:variant>
        <vt:i4>0</vt:i4>
      </vt:variant>
      <vt:variant>
        <vt:i4>5</vt:i4>
      </vt:variant>
      <vt:variant>
        <vt:lpwstr>mailto:cathy.mcgill@doa.virginia.gov</vt:lpwstr>
      </vt:variant>
      <vt:variant>
        <vt:lpwstr/>
      </vt:variant>
      <vt:variant>
        <vt:i4>6619207</vt:i4>
      </vt:variant>
      <vt:variant>
        <vt:i4>15</vt:i4>
      </vt:variant>
      <vt:variant>
        <vt:i4>0</vt:i4>
      </vt:variant>
      <vt:variant>
        <vt:i4>5</vt:i4>
      </vt:variant>
      <vt:variant>
        <vt:lpwstr>http://www.doa.virginia.gov/Payroll/Payroll_Bulletins/Payroll_Bulletins_Main.cfm</vt:lpwstr>
      </vt:variant>
      <vt:variant>
        <vt:lpwstr/>
      </vt:variant>
      <vt:variant>
        <vt:i4>6619207</vt:i4>
      </vt:variant>
      <vt:variant>
        <vt:i4>6</vt:i4>
      </vt:variant>
      <vt:variant>
        <vt:i4>0</vt:i4>
      </vt:variant>
      <vt:variant>
        <vt:i4>5</vt:i4>
      </vt:variant>
      <vt:variant>
        <vt:lpwstr>http://www.doa.virginia.gov/Payroll/Payroll_Bulletins/Payroll_Bulletins_Main.cfm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2024-08-22T19:40:00Z</dcterms:created>
  <dcterms:modified xsi:type="dcterms:W3CDTF">2024-08-22T19:40:00Z</dcterms:modified>
</cp:coreProperties>
</file>