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2E1B"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14:paraId="7F36A53C"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14:paraId="6E6DF06C" w14:textId="77777777"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14:paraId="560C7401" w14:textId="77777777" w:rsidTr="00D45FD9">
        <w:trPr>
          <w:cantSplit/>
        </w:trPr>
        <w:tc>
          <w:tcPr>
            <w:tcW w:w="3510" w:type="dxa"/>
            <w:tcBorders>
              <w:bottom w:val="double" w:sz="6" w:space="0" w:color="auto"/>
            </w:tcBorders>
          </w:tcPr>
          <w:p w14:paraId="0AAD425E" w14:textId="4ACAB41A" w:rsidR="007C617C" w:rsidRDefault="007C617C" w:rsidP="00CF0F7F">
            <w:pPr>
              <w:pStyle w:val="Header"/>
              <w:rPr>
                <w:b/>
                <w:sz w:val="20"/>
              </w:rPr>
            </w:pPr>
            <w:r>
              <w:rPr>
                <w:b/>
                <w:sz w:val="20"/>
              </w:rPr>
              <w:t xml:space="preserve">Calendar Year </w:t>
            </w:r>
            <w:r w:rsidR="003F1980">
              <w:rPr>
                <w:b/>
                <w:sz w:val="20"/>
              </w:rPr>
              <w:t>202</w:t>
            </w:r>
            <w:r w:rsidR="00931BD7">
              <w:rPr>
                <w:b/>
                <w:sz w:val="20"/>
              </w:rPr>
              <w:t>4</w:t>
            </w:r>
          </w:p>
        </w:tc>
        <w:tc>
          <w:tcPr>
            <w:tcW w:w="3690" w:type="dxa"/>
            <w:tcBorders>
              <w:bottom w:val="double" w:sz="6" w:space="0" w:color="auto"/>
            </w:tcBorders>
          </w:tcPr>
          <w:p w14:paraId="33D7CF9D" w14:textId="5C530110" w:rsidR="007C617C" w:rsidRDefault="009475E5" w:rsidP="00D32DFB">
            <w:pPr>
              <w:pStyle w:val="Header"/>
              <w:jc w:val="center"/>
              <w:rPr>
                <w:b/>
                <w:sz w:val="20"/>
              </w:rPr>
            </w:pPr>
            <w:r>
              <w:rPr>
                <w:b/>
                <w:sz w:val="20"/>
              </w:rPr>
              <w:t>June 11</w:t>
            </w:r>
            <w:r w:rsidR="008411C2">
              <w:rPr>
                <w:b/>
                <w:sz w:val="20"/>
              </w:rPr>
              <w:t xml:space="preserve">, </w:t>
            </w:r>
            <w:r w:rsidR="003F1980">
              <w:rPr>
                <w:b/>
                <w:sz w:val="20"/>
              </w:rPr>
              <w:t>202</w:t>
            </w:r>
            <w:r w:rsidR="00931BD7">
              <w:rPr>
                <w:b/>
                <w:sz w:val="20"/>
              </w:rPr>
              <w:t>4</w:t>
            </w:r>
          </w:p>
        </w:tc>
        <w:tc>
          <w:tcPr>
            <w:tcW w:w="3600" w:type="dxa"/>
            <w:tcBorders>
              <w:bottom w:val="double" w:sz="6" w:space="0" w:color="auto"/>
            </w:tcBorders>
          </w:tcPr>
          <w:p w14:paraId="79448E1A" w14:textId="3B76105A" w:rsidR="007C617C" w:rsidRDefault="007C617C" w:rsidP="00383489">
            <w:pPr>
              <w:pStyle w:val="Header"/>
              <w:jc w:val="right"/>
              <w:rPr>
                <w:b/>
                <w:sz w:val="20"/>
              </w:rPr>
            </w:pPr>
            <w:r>
              <w:rPr>
                <w:b/>
                <w:sz w:val="20"/>
              </w:rPr>
              <w:t xml:space="preserve">Volume </w:t>
            </w:r>
            <w:r w:rsidR="003F1980">
              <w:rPr>
                <w:b/>
                <w:sz w:val="20"/>
              </w:rPr>
              <w:t>202</w:t>
            </w:r>
            <w:r w:rsidR="00931BD7">
              <w:rPr>
                <w:b/>
                <w:sz w:val="20"/>
              </w:rPr>
              <w:t>4</w:t>
            </w:r>
            <w:r w:rsidR="000F3E48">
              <w:rPr>
                <w:b/>
                <w:sz w:val="20"/>
              </w:rPr>
              <w:t>-</w:t>
            </w:r>
            <w:r w:rsidR="009C6324">
              <w:rPr>
                <w:b/>
                <w:sz w:val="20"/>
              </w:rPr>
              <w:t>0</w:t>
            </w:r>
            <w:r w:rsidR="009475E5">
              <w:rPr>
                <w:b/>
                <w:sz w:val="20"/>
              </w:rPr>
              <w:t>9</w:t>
            </w:r>
          </w:p>
        </w:tc>
      </w:tr>
    </w:tbl>
    <w:p w14:paraId="36CB2E3E" w14:textId="77777777"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14:paraId="5C5F6744" w14:textId="77777777" w:rsidTr="00D45FD9">
        <w:trPr>
          <w:jc w:val="center"/>
        </w:trPr>
        <w:tc>
          <w:tcPr>
            <w:tcW w:w="2447" w:type="dxa"/>
          </w:tcPr>
          <w:p w14:paraId="2BB9DF3C" w14:textId="77777777"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14:paraId="14B5CB0E" w14:textId="77777777" w:rsidR="002775F4" w:rsidRPr="00574373" w:rsidRDefault="002775F4" w:rsidP="00574373">
            <w:pPr>
              <w:spacing w:before="120"/>
              <w:rPr>
                <w:b/>
              </w:rPr>
            </w:pPr>
          </w:p>
        </w:tc>
        <w:tc>
          <w:tcPr>
            <w:tcW w:w="4112" w:type="dxa"/>
          </w:tcPr>
          <w:p w14:paraId="1D3B8BCA" w14:textId="40729E80" w:rsidR="002775F4" w:rsidRPr="00574373" w:rsidRDefault="0042246F" w:rsidP="00370B7D">
            <w:pPr>
              <w:numPr>
                <w:ilvl w:val="0"/>
                <w:numId w:val="1"/>
              </w:numPr>
              <w:tabs>
                <w:tab w:val="left" w:pos="990"/>
              </w:tabs>
              <w:spacing w:before="60"/>
              <w:ind w:left="547"/>
              <w:rPr>
                <w:b/>
                <w:szCs w:val="24"/>
              </w:rPr>
            </w:pPr>
            <w:r>
              <w:rPr>
                <w:b/>
                <w:szCs w:val="24"/>
              </w:rPr>
              <w:t>FY 2</w:t>
            </w:r>
            <w:r w:rsidR="00931BD7">
              <w:rPr>
                <w:b/>
                <w:szCs w:val="24"/>
              </w:rPr>
              <w:t>5</w:t>
            </w:r>
            <w:r>
              <w:rPr>
                <w:b/>
                <w:szCs w:val="24"/>
              </w:rPr>
              <w:t xml:space="preserve"> </w:t>
            </w:r>
            <w:r w:rsidR="00CC6B70">
              <w:rPr>
                <w:b/>
                <w:szCs w:val="24"/>
              </w:rPr>
              <w:t xml:space="preserve">Salary </w:t>
            </w:r>
            <w:r w:rsidR="00605D83">
              <w:rPr>
                <w:b/>
                <w:szCs w:val="24"/>
              </w:rPr>
              <w:t>Expenditure Code Update</w:t>
            </w:r>
          </w:p>
          <w:p w14:paraId="5DD2B621" w14:textId="77777777" w:rsidR="00605D83" w:rsidRDefault="00780A2B" w:rsidP="00370B7D">
            <w:pPr>
              <w:numPr>
                <w:ilvl w:val="0"/>
                <w:numId w:val="1"/>
              </w:numPr>
              <w:tabs>
                <w:tab w:val="left" w:pos="990"/>
              </w:tabs>
              <w:spacing w:before="60"/>
              <w:ind w:left="547"/>
              <w:rPr>
                <w:b/>
                <w:szCs w:val="24"/>
              </w:rPr>
            </w:pPr>
            <w:r w:rsidRPr="00574373">
              <w:rPr>
                <w:b/>
                <w:szCs w:val="24"/>
              </w:rPr>
              <w:t>Healthcare R</w:t>
            </w:r>
            <w:r w:rsidR="00605D83">
              <w:rPr>
                <w:b/>
                <w:szCs w:val="24"/>
              </w:rPr>
              <w:t>econ Report</w:t>
            </w:r>
          </w:p>
          <w:p w14:paraId="106E8499" w14:textId="47651DF0" w:rsidR="00216D6B" w:rsidRDefault="00605D83" w:rsidP="00370B7D">
            <w:pPr>
              <w:numPr>
                <w:ilvl w:val="0"/>
                <w:numId w:val="1"/>
              </w:numPr>
              <w:tabs>
                <w:tab w:val="left" w:pos="990"/>
              </w:tabs>
              <w:spacing w:before="60"/>
              <w:ind w:left="547"/>
              <w:rPr>
                <w:b/>
                <w:szCs w:val="24"/>
              </w:rPr>
            </w:pPr>
            <w:r>
              <w:rPr>
                <w:b/>
                <w:szCs w:val="24"/>
              </w:rPr>
              <w:t>HCM Updates</w:t>
            </w:r>
            <w:r w:rsidR="006C47F5">
              <w:rPr>
                <w:b/>
                <w:szCs w:val="24"/>
              </w:rPr>
              <w:t xml:space="preserve"> </w:t>
            </w:r>
          </w:p>
          <w:p w14:paraId="7AE1AE9B" w14:textId="77777777" w:rsidR="00780A2B" w:rsidRPr="00574373" w:rsidRDefault="00780A2B" w:rsidP="00422FB4">
            <w:pPr>
              <w:tabs>
                <w:tab w:val="left" w:pos="990"/>
              </w:tabs>
              <w:spacing w:before="60"/>
              <w:ind w:left="547"/>
              <w:rPr>
                <w:b/>
                <w:szCs w:val="24"/>
              </w:rPr>
            </w:pPr>
          </w:p>
        </w:tc>
        <w:tc>
          <w:tcPr>
            <w:tcW w:w="4200" w:type="dxa"/>
          </w:tcPr>
          <w:p w14:paraId="3EF46605" w14:textId="3C5F69EF" w:rsidR="002775F4" w:rsidRPr="00574373" w:rsidRDefault="002775F4" w:rsidP="00574373">
            <w:pPr>
              <w:tabs>
                <w:tab w:val="left" w:pos="990"/>
              </w:tabs>
              <w:spacing w:before="120"/>
              <w:rPr>
                <w:sz w:val="20"/>
              </w:rPr>
            </w:pPr>
            <w:r w:rsidRPr="00574373">
              <w:rPr>
                <w:sz w:val="20"/>
              </w:rPr>
              <w:t xml:space="preserve">The Payroll Bulletin is published periodically to provide </w:t>
            </w:r>
            <w:r w:rsidR="00B51479">
              <w:rPr>
                <w:sz w:val="20"/>
              </w:rPr>
              <w:t>HCM</w:t>
            </w:r>
            <w:r w:rsidRPr="00574373">
              <w:rPr>
                <w:sz w:val="20"/>
              </w:rPr>
              <w:t xml:space="preserve"> 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14:paraId="40FAB571" w14:textId="77777777" w:rsidR="002775F4" w:rsidRPr="00574373" w:rsidRDefault="002775F4" w:rsidP="00574373">
            <w:pPr>
              <w:tabs>
                <w:tab w:val="left" w:pos="990"/>
              </w:tabs>
              <w:spacing w:before="120"/>
              <w:jc w:val="both"/>
              <w:rPr>
                <w:sz w:val="20"/>
                <w:u w:val="single"/>
              </w:rPr>
            </w:pPr>
            <w:r w:rsidRPr="00574373">
              <w:rPr>
                <w:sz w:val="20"/>
                <w:u w:val="single"/>
              </w:rPr>
              <w:t>State Payroll Operations</w:t>
            </w:r>
          </w:p>
          <w:p w14:paraId="6D0F91E8" w14:textId="77777777"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14:paraId="095D53AA" w14:textId="77777777"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14:paraId="5309729E" w14:textId="77777777" w:rsidR="002F6F61" w:rsidRPr="00D467F1" w:rsidRDefault="002F6F61" w:rsidP="002F6F61">
      <w:pPr>
        <w:pStyle w:val="BlockLine"/>
        <w:ind w:left="1620"/>
        <w:rPr>
          <w:sz w:val="16"/>
          <w:szCs w:val="16"/>
        </w:rPr>
      </w:pPr>
    </w:p>
    <w:p w14:paraId="2C7F0C37" w14:textId="30A29BD0" w:rsidR="007C617C" w:rsidRPr="00B47C1A" w:rsidRDefault="00F1215F" w:rsidP="005F3A3C">
      <w:pPr>
        <w:rPr>
          <w:b/>
          <w:szCs w:val="24"/>
        </w:rPr>
      </w:pPr>
      <w:bookmarkStart w:id="0" w:name="_Toc401048300"/>
      <w:bookmarkStart w:id="1" w:name="_Hlk168990154"/>
      <w:r w:rsidRPr="00B47C1A">
        <w:rPr>
          <w:b/>
          <w:szCs w:val="24"/>
        </w:rPr>
        <w:t>FY 2</w:t>
      </w:r>
      <w:r w:rsidR="00CF6126" w:rsidRPr="00B47C1A">
        <w:rPr>
          <w:b/>
          <w:szCs w:val="24"/>
        </w:rPr>
        <w:t>5</w:t>
      </w:r>
      <w:r w:rsidRPr="00B47C1A">
        <w:rPr>
          <w:b/>
          <w:szCs w:val="24"/>
        </w:rPr>
        <w:t xml:space="preserve"> </w:t>
      </w:r>
      <w:r w:rsidR="00CC6B70">
        <w:rPr>
          <w:b/>
          <w:szCs w:val="24"/>
        </w:rPr>
        <w:t xml:space="preserve">Salary </w:t>
      </w:r>
      <w:r w:rsidR="00605D83" w:rsidRPr="00B47C1A">
        <w:rPr>
          <w:b/>
          <w:szCs w:val="24"/>
        </w:rPr>
        <w:t>Expenditure Code Update</w:t>
      </w:r>
      <w:r w:rsidR="007C617C" w:rsidRPr="00B47C1A">
        <w:rPr>
          <w:b/>
          <w:szCs w:val="24"/>
        </w:rPr>
        <w:t xml:space="preserve"> </w:t>
      </w:r>
    </w:p>
    <w:bookmarkEnd w:id="0"/>
    <w:p w14:paraId="21045447" w14:textId="77777777" w:rsidR="005F3A3C" w:rsidRPr="000E7BB1" w:rsidRDefault="005F3A3C" w:rsidP="005F3A3C">
      <w:pPr>
        <w:pStyle w:val="BlockLine"/>
        <w:rPr>
          <w:b/>
          <w:sz w:val="16"/>
          <w:szCs w:val="16"/>
        </w:rPr>
      </w:pPr>
    </w:p>
    <w:tbl>
      <w:tblPr>
        <w:tblW w:w="10800" w:type="dxa"/>
        <w:tblInd w:w="108" w:type="dxa"/>
        <w:tblLayout w:type="fixed"/>
        <w:tblLook w:val="0000" w:firstRow="0" w:lastRow="0" w:firstColumn="0" w:lastColumn="0" w:noHBand="0" w:noVBand="0"/>
      </w:tblPr>
      <w:tblGrid>
        <w:gridCol w:w="1782"/>
        <w:gridCol w:w="9018"/>
      </w:tblGrid>
      <w:tr w:rsidR="007C617C" w14:paraId="5755A956" w14:textId="77777777" w:rsidTr="00190058">
        <w:trPr>
          <w:cantSplit/>
        </w:trPr>
        <w:tc>
          <w:tcPr>
            <w:tcW w:w="1782" w:type="dxa"/>
          </w:tcPr>
          <w:bookmarkEnd w:id="1"/>
          <w:p w14:paraId="3E21E768" w14:textId="5731B28A" w:rsidR="007C617C" w:rsidRPr="00731B7C" w:rsidRDefault="006E58A1" w:rsidP="00851D23">
            <w:pPr>
              <w:pStyle w:val="Heading5"/>
            </w:pPr>
            <w:r>
              <w:t>Effective 7/1/2024</w:t>
            </w:r>
          </w:p>
        </w:tc>
        <w:tc>
          <w:tcPr>
            <w:tcW w:w="9018" w:type="dxa"/>
          </w:tcPr>
          <w:p w14:paraId="35B762CA" w14:textId="4A9DEC70" w:rsidR="007C617C" w:rsidRPr="002A6806" w:rsidRDefault="006E58A1" w:rsidP="00815149">
            <w:pPr>
              <w:pStyle w:val="Extmemo"/>
              <w:rPr>
                <w:sz w:val="22"/>
                <w:szCs w:val="22"/>
              </w:rPr>
            </w:pPr>
            <w:r>
              <w:rPr>
                <w:sz w:val="22"/>
                <w:szCs w:val="22"/>
              </w:rPr>
              <w:t>DPB has made the following updates to the expenditure codes used to record payroll salaries.  Cardinal has updated configurations in HCM to properly record expenditures as defined by DPB effective July 1, 2024</w:t>
            </w:r>
            <w:r w:rsidR="00007223">
              <w:rPr>
                <w:sz w:val="22"/>
                <w:szCs w:val="22"/>
              </w:rPr>
              <w:t xml:space="preserve">.  This includes payroll expenditures for the 6/10-24 and 6/16-30 payrolls. </w:t>
            </w:r>
            <w:r>
              <w:rPr>
                <w:sz w:val="22"/>
                <w:szCs w:val="22"/>
              </w:rPr>
              <w:t xml:space="preserve"> </w:t>
            </w:r>
          </w:p>
        </w:tc>
      </w:tr>
    </w:tbl>
    <w:p w14:paraId="0C4E2CCD" w14:textId="77777777" w:rsidR="00034ABB" w:rsidRDefault="00034ABB" w:rsidP="00034ABB">
      <w:pPr>
        <w:pStyle w:val="BlockLine"/>
        <w:rPr>
          <w:sz w:val="8"/>
          <w:szCs w:val="8"/>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2088"/>
        <w:gridCol w:w="7196"/>
      </w:tblGrid>
      <w:tr w:rsidR="00007223" w:rsidRPr="00007223" w14:paraId="603D7010"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F11384E" w14:textId="77777777" w:rsidR="00007223" w:rsidRPr="00007223" w:rsidRDefault="00007223" w:rsidP="00007223">
            <w:pPr>
              <w:jc w:val="center"/>
              <w:rPr>
                <w:sz w:val="20"/>
              </w:rPr>
            </w:pPr>
            <w:r w:rsidRPr="00007223">
              <w:rPr>
                <w:sz w:val="20"/>
              </w:rPr>
              <w:t>1121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2A9FD00" w14:textId="77777777" w:rsidR="00007223" w:rsidRPr="00007223" w:rsidRDefault="00007223" w:rsidP="00007223">
            <w:pPr>
              <w:rPr>
                <w:sz w:val="20"/>
              </w:rPr>
            </w:pPr>
            <w:r w:rsidRPr="00007223">
              <w:rPr>
                <w:sz w:val="20"/>
              </w:rPr>
              <w:t>Salaries, Administrative or Professional Faculty Higher Education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E5BBBB9" w14:textId="77777777" w:rsidR="00007223" w:rsidRPr="00007223" w:rsidRDefault="00007223" w:rsidP="00007223">
            <w:pPr>
              <w:rPr>
                <w:sz w:val="20"/>
              </w:rPr>
            </w:pPr>
            <w:r w:rsidRPr="00007223">
              <w:rPr>
                <w:sz w:val="20"/>
              </w:rPr>
              <w:t>Salaries, Administrative or Professional Faculty Higher Education: Include expenses for compensation to persons for professional services rendered on a full-time (temporary, restricted, or permanent) basis or a permanent, part-time basis in administrative or professional positions carrying faculty appointment in institutions of higher education. Include educational leave. Do not include final compensation to employees for annual, sick, or compensatory leave balances.</w:t>
            </w:r>
          </w:p>
        </w:tc>
      </w:tr>
      <w:tr w:rsidR="00007223" w:rsidRPr="00007223" w14:paraId="229465F0"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00F712" w14:textId="77777777" w:rsidR="00007223" w:rsidRPr="00007223" w:rsidRDefault="00007223" w:rsidP="00007223">
            <w:pPr>
              <w:jc w:val="center"/>
              <w:rPr>
                <w:sz w:val="20"/>
              </w:rPr>
            </w:pPr>
            <w:r w:rsidRPr="00007223">
              <w:rPr>
                <w:sz w:val="20"/>
              </w:rPr>
              <w:t>1122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0133E8A" w14:textId="77777777" w:rsidR="00007223" w:rsidRPr="00007223" w:rsidRDefault="00007223" w:rsidP="00007223">
            <w:pPr>
              <w:rPr>
                <w:sz w:val="20"/>
              </w:rPr>
            </w:pPr>
            <w:r w:rsidRPr="00007223">
              <w:rPr>
                <w:sz w:val="20"/>
              </w:rPr>
              <w:t>Salaries, Appointed Officials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D52F52B" w14:textId="77777777" w:rsidR="00007223" w:rsidRPr="00007223" w:rsidRDefault="00007223" w:rsidP="00007223">
            <w:pPr>
              <w:rPr>
                <w:sz w:val="20"/>
              </w:rPr>
            </w:pPr>
            <w:r w:rsidRPr="00007223">
              <w:rPr>
                <w:sz w:val="20"/>
              </w:rPr>
              <w:t>Salaries, Appointed Officials: Include expenses for compensation, severance pay, and incentive awards to persons who are appointed to their position and are paid at a yearly rate specified in Part 4 (General Provisions) of the Appropriation Act. Include expenses for compensation, severance pay, and incentive awards for judges and justices.</w:t>
            </w:r>
          </w:p>
        </w:tc>
      </w:tr>
      <w:tr w:rsidR="00007223" w:rsidRPr="00007223" w14:paraId="30D48EB2"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21770A5" w14:textId="77777777" w:rsidR="00007223" w:rsidRPr="00007223" w:rsidRDefault="00007223" w:rsidP="00007223">
            <w:pPr>
              <w:jc w:val="center"/>
              <w:rPr>
                <w:sz w:val="20"/>
              </w:rPr>
            </w:pPr>
            <w:r w:rsidRPr="00007223">
              <w:rPr>
                <w:sz w:val="20"/>
              </w:rPr>
              <w:t>1123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8493638" w14:textId="77777777" w:rsidR="00007223" w:rsidRPr="00007223" w:rsidRDefault="00007223" w:rsidP="00007223">
            <w:pPr>
              <w:rPr>
                <w:sz w:val="20"/>
              </w:rPr>
            </w:pPr>
            <w:r w:rsidRPr="00007223">
              <w:rPr>
                <w:sz w:val="20"/>
              </w:rPr>
              <w:t>Salaries, Classified</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BB1D8BD" w14:textId="77777777" w:rsidR="00007223" w:rsidRPr="00007223" w:rsidRDefault="00007223" w:rsidP="00007223">
            <w:pPr>
              <w:rPr>
                <w:sz w:val="20"/>
              </w:rPr>
            </w:pPr>
            <w:r w:rsidRPr="00007223">
              <w:rPr>
                <w:sz w:val="20"/>
              </w:rPr>
              <w:t>Salaries, Classified: Include expenses for compensation and severance pay to persons who are paid at an established yearly rate in positions which are covered by the Virginia Personnel Act. Do not include final compensation to employees for annual, sick, or compensatory leave balances. Charge expenses for VALORS participants to 1127. [Rev. eff. 7/1/01]</w:t>
            </w:r>
          </w:p>
        </w:tc>
      </w:tr>
      <w:tr w:rsidR="00007223" w:rsidRPr="00007223" w14:paraId="53494AD2"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57319CE" w14:textId="77777777" w:rsidR="00007223" w:rsidRPr="00007223" w:rsidRDefault="00007223" w:rsidP="00007223">
            <w:pPr>
              <w:jc w:val="center"/>
              <w:rPr>
                <w:sz w:val="20"/>
              </w:rPr>
            </w:pPr>
            <w:r w:rsidRPr="00007223">
              <w:rPr>
                <w:sz w:val="20"/>
              </w:rPr>
              <w:t>1124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0BB1D732" w14:textId="77777777" w:rsidR="00007223" w:rsidRPr="00007223" w:rsidRDefault="00007223" w:rsidP="00007223">
            <w:pPr>
              <w:rPr>
                <w:sz w:val="20"/>
              </w:rPr>
            </w:pPr>
            <w:r w:rsidRPr="00007223">
              <w:rPr>
                <w:sz w:val="20"/>
              </w:rPr>
              <w:t>Salaries, Other Officials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0994718" w14:textId="77777777" w:rsidR="00007223" w:rsidRPr="00007223" w:rsidRDefault="00007223" w:rsidP="00007223">
            <w:pPr>
              <w:rPr>
                <w:sz w:val="20"/>
              </w:rPr>
            </w:pPr>
            <w:r w:rsidRPr="00007223">
              <w:rPr>
                <w:sz w:val="20"/>
              </w:rPr>
              <w:t>Salaries, Other Officials: Include expenses for compensation, severance pay, and incentive awards to persons who are paid at a yearly rate and are in positions which are exempt from the Virginia Personnel Act and whose salaries are not specified in Part 4 (General Provisions) of the Appropriation Act including staff at Tier III institutions who qualify as “university staff” but do not carry a faculty designation. Include expenses for compensation and severance pay for persons participating in the State Police Officers Retirement System. Do not include final compensation to employees for annual, sick, or compensatory leave balances. Charge expenses for VALORS participants to 1127. [Rev. eff. 7/1/24]</w:t>
            </w:r>
          </w:p>
        </w:tc>
      </w:tr>
      <w:tr w:rsidR="00007223" w:rsidRPr="00007223" w14:paraId="0D7901C2"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3DC831BB" w14:textId="77777777" w:rsidR="00007223" w:rsidRPr="00007223" w:rsidRDefault="00007223" w:rsidP="00007223">
            <w:pPr>
              <w:jc w:val="center"/>
              <w:rPr>
                <w:sz w:val="20"/>
              </w:rPr>
            </w:pPr>
            <w:r w:rsidRPr="00007223">
              <w:rPr>
                <w:sz w:val="20"/>
              </w:rPr>
              <w:t>1125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428ABCC" w14:textId="77777777" w:rsidR="00007223" w:rsidRPr="00007223" w:rsidRDefault="00007223" w:rsidP="00007223">
            <w:pPr>
              <w:rPr>
                <w:sz w:val="20"/>
              </w:rPr>
            </w:pPr>
            <w:r w:rsidRPr="00007223">
              <w:rPr>
                <w:sz w:val="20"/>
              </w:rPr>
              <w:t>Salaries, Overtime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7539B48" w14:textId="77777777" w:rsidR="00007223" w:rsidRPr="00007223" w:rsidRDefault="00007223" w:rsidP="00007223">
            <w:pPr>
              <w:rPr>
                <w:sz w:val="20"/>
              </w:rPr>
            </w:pPr>
            <w:r w:rsidRPr="00007223">
              <w:rPr>
                <w:sz w:val="20"/>
              </w:rPr>
              <w:t>Salaries, Overtime: Include expenses for compensation to persons who are paid at an established yearly rate, for hours worked in excess of their normal workweek.</w:t>
            </w:r>
          </w:p>
        </w:tc>
      </w:tr>
      <w:tr w:rsidR="007D37FC" w:rsidRPr="00007223" w14:paraId="1610FD58"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47EB724D" w14:textId="77777777" w:rsidR="007D37FC" w:rsidRPr="00007223" w:rsidRDefault="007D37FC" w:rsidP="00E0084D">
            <w:pPr>
              <w:jc w:val="center"/>
              <w:rPr>
                <w:sz w:val="20"/>
              </w:rPr>
            </w:pPr>
            <w:r w:rsidRPr="00007223">
              <w:rPr>
                <w:sz w:val="20"/>
              </w:rPr>
              <w:t>1126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E8CCAF7" w14:textId="77777777" w:rsidR="007D37FC" w:rsidRPr="00007223" w:rsidRDefault="007D37FC" w:rsidP="00E0084D">
            <w:pPr>
              <w:rPr>
                <w:sz w:val="20"/>
              </w:rPr>
            </w:pPr>
            <w:r w:rsidRPr="00007223">
              <w:rPr>
                <w:sz w:val="20"/>
              </w:rPr>
              <w:t>Salaries, Teaching and Research Faculty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A533B25" w14:textId="77777777" w:rsidR="007D37FC" w:rsidRPr="00007223" w:rsidRDefault="007D37FC" w:rsidP="00E0084D">
            <w:pPr>
              <w:rPr>
                <w:sz w:val="20"/>
              </w:rPr>
            </w:pPr>
            <w:r w:rsidRPr="00007223">
              <w:rPr>
                <w:sz w:val="20"/>
              </w:rPr>
              <w:t>Salaries, Teaching and Research Faculty: Include expenses for compensation to persons for professional services rendered on a full-time (temporary, restricted or permanent) basis or a permanent, part-time basis in research and teaching faculty positions in institutions of higher education. Include educational leave. Do not include final compensation to employees for annual, sick, or compensatory leave balances.</w:t>
            </w:r>
          </w:p>
        </w:tc>
      </w:tr>
      <w:tr w:rsidR="007D37FC" w:rsidRPr="00007223" w14:paraId="06C79BB1" w14:textId="77777777" w:rsidTr="00E0084D">
        <w:tc>
          <w:tcPr>
            <w:tcW w:w="150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24D3D8F6" w14:textId="77777777" w:rsidR="007D37FC" w:rsidRPr="00007223" w:rsidRDefault="007D37FC" w:rsidP="00E0084D">
            <w:pPr>
              <w:jc w:val="center"/>
              <w:rPr>
                <w:sz w:val="20"/>
              </w:rPr>
            </w:pPr>
            <w:r w:rsidRPr="00007223">
              <w:rPr>
                <w:sz w:val="20"/>
              </w:rPr>
              <w:t>1127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6E370D7C" w14:textId="77777777" w:rsidR="007D37FC" w:rsidRPr="00007223" w:rsidRDefault="007D37FC" w:rsidP="00E0084D">
            <w:pPr>
              <w:rPr>
                <w:sz w:val="20"/>
              </w:rPr>
            </w:pPr>
            <w:r w:rsidRPr="00007223">
              <w:rPr>
                <w:sz w:val="20"/>
              </w:rPr>
              <w:t>Salaries, Virginia Law Officers’ Retirement System Participants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14:paraId="510D501F" w14:textId="77777777" w:rsidR="007D37FC" w:rsidRPr="00007223" w:rsidRDefault="007D37FC" w:rsidP="00E0084D">
            <w:pPr>
              <w:rPr>
                <w:sz w:val="20"/>
              </w:rPr>
            </w:pPr>
            <w:r w:rsidRPr="00007223">
              <w:rPr>
                <w:sz w:val="20"/>
              </w:rPr>
              <w:t>Salaries, Virginia Law Officers’ Retirement System Participants: Include expenses for compensation and severance pay for persons participating in the Virginia Law Officers’ Retirement System (VALORS). [Eff. 7/1/01]</w:t>
            </w:r>
          </w:p>
        </w:tc>
      </w:tr>
    </w:tbl>
    <w:p w14:paraId="5CD660D5" w14:textId="77777777" w:rsidR="00E70997" w:rsidRDefault="00E70997" w:rsidP="00E70997">
      <w:pPr>
        <w:rPr>
          <w:b/>
          <w:szCs w:val="24"/>
        </w:rPr>
      </w:pPr>
    </w:p>
    <w:p w14:paraId="6877AAA2" w14:textId="77777777" w:rsidR="00E70997" w:rsidRDefault="00E70997" w:rsidP="00E70997">
      <w:pPr>
        <w:rPr>
          <w:b/>
          <w:szCs w:val="24"/>
        </w:rPr>
      </w:pPr>
    </w:p>
    <w:p w14:paraId="32C389BF" w14:textId="79A5E429" w:rsidR="00E70997" w:rsidRPr="00B47C1A" w:rsidRDefault="00AD5E09" w:rsidP="00E70997">
      <w:pPr>
        <w:rPr>
          <w:b/>
          <w:szCs w:val="24"/>
        </w:rPr>
      </w:pPr>
      <w:r>
        <w:rPr>
          <w:b/>
          <w:szCs w:val="24"/>
        </w:rPr>
        <w:lastRenderedPageBreak/>
        <w:t>Healthcare Recon Report</w:t>
      </w:r>
    </w:p>
    <w:p w14:paraId="12883876" w14:textId="77777777" w:rsidR="00E70997" w:rsidRPr="000E7BB1" w:rsidRDefault="00E70997" w:rsidP="00E70997">
      <w:pPr>
        <w:pStyle w:val="BlockLine"/>
        <w:rPr>
          <w:b/>
          <w:sz w:val="16"/>
          <w:szCs w:val="16"/>
        </w:rPr>
      </w:pPr>
    </w:p>
    <w:tbl>
      <w:tblPr>
        <w:tblW w:w="10890" w:type="dxa"/>
        <w:tblCellMar>
          <w:left w:w="0" w:type="dxa"/>
          <w:right w:w="0" w:type="dxa"/>
        </w:tblCellMar>
        <w:tblLook w:val="04A0" w:firstRow="1" w:lastRow="0" w:firstColumn="1" w:lastColumn="0" w:noHBand="0" w:noVBand="1"/>
      </w:tblPr>
      <w:tblGrid>
        <w:gridCol w:w="1728"/>
        <w:gridCol w:w="9162"/>
      </w:tblGrid>
      <w:tr w:rsidR="00E70997" w:rsidRPr="00E70997" w14:paraId="31AE92B0" w14:textId="77777777" w:rsidTr="007079A4">
        <w:trPr>
          <w:cantSplit/>
        </w:trPr>
        <w:tc>
          <w:tcPr>
            <w:tcW w:w="1728" w:type="dxa"/>
            <w:tcMar>
              <w:top w:w="0" w:type="dxa"/>
              <w:left w:w="108" w:type="dxa"/>
              <w:bottom w:w="0" w:type="dxa"/>
              <w:right w:w="108" w:type="dxa"/>
            </w:tcMar>
            <w:hideMark/>
          </w:tcPr>
          <w:p w14:paraId="0BC572A4" w14:textId="77777777" w:rsidR="00E70997" w:rsidRPr="00E70997" w:rsidRDefault="00E70997" w:rsidP="00E70997">
            <w:pPr>
              <w:spacing w:line="252" w:lineRule="auto"/>
              <w:outlineLvl w:val="4"/>
              <w:rPr>
                <w:b/>
                <w:bCs/>
                <w:sz w:val="22"/>
                <w:szCs w:val="22"/>
              </w:rPr>
            </w:pPr>
            <w:r w:rsidRPr="00E70997">
              <w:rPr>
                <w:b/>
                <w:bCs/>
                <w:sz w:val="22"/>
                <w:szCs w:val="22"/>
              </w:rPr>
              <w:t>Health Benefits Recon Exceptions Report (RHR070)</w:t>
            </w:r>
          </w:p>
        </w:tc>
        <w:tc>
          <w:tcPr>
            <w:tcW w:w="9162" w:type="dxa"/>
            <w:tcMar>
              <w:top w:w="0" w:type="dxa"/>
              <w:left w:w="108" w:type="dxa"/>
              <w:bottom w:w="0" w:type="dxa"/>
              <w:right w:w="108" w:type="dxa"/>
            </w:tcMar>
          </w:tcPr>
          <w:p w14:paraId="30CBC68F" w14:textId="5C8B7871" w:rsidR="00E70997" w:rsidRPr="00E70997" w:rsidRDefault="008620DF"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Pr>
                <w:rFonts w:eastAsia="Aptos"/>
                <w:sz w:val="20"/>
              </w:rPr>
              <w:t>Beginning 6/12 t</w:t>
            </w:r>
            <w:r w:rsidR="00E70997" w:rsidRPr="00E70997">
              <w:rPr>
                <w:rFonts w:eastAsia="Aptos"/>
                <w:sz w:val="20"/>
              </w:rPr>
              <w:t xml:space="preserve">his report may now be run in a CSV version. The report lists all employees for whom a variance was identified between the expected health premium amounts, based on the employee elections in Benefits, with the actual health premiums collected through </w:t>
            </w:r>
            <w:r w:rsidR="00AD5E09" w:rsidRPr="007079A4">
              <w:rPr>
                <w:rFonts w:eastAsia="Aptos"/>
                <w:sz w:val="20"/>
              </w:rPr>
              <w:t>p</w:t>
            </w:r>
            <w:r w:rsidR="00E70997" w:rsidRPr="00E70997">
              <w:rPr>
                <w:rFonts w:eastAsia="Aptos"/>
                <w:sz w:val="20"/>
              </w:rPr>
              <w:t xml:space="preserve">ayroll. The report also lists employees whose Health Premium Reward processed through </w:t>
            </w:r>
            <w:r w:rsidR="00AD5E09" w:rsidRPr="007079A4">
              <w:rPr>
                <w:rFonts w:eastAsia="Aptos"/>
                <w:sz w:val="20"/>
              </w:rPr>
              <w:t>p</w:t>
            </w:r>
            <w:r w:rsidR="00E70997" w:rsidRPr="00E70997">
              <w:rPr>
                <w:rFonts w:eastAsia="Aptos"/>
                <w:sz w:val="20"/>
              </w:rPr>
              <w:t>ayroll does not match the Health Premium Reward enrollment in Benefits.</w:t>
            </w:r>
          </w:p>
          <w:p w14:paraId="148D32A5" w14:textId="77777777" w:rsidR="00E70997" w:rsidRP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p>
          <w:p w14:paraId="07DC9D7D" w14:textId="77777777" w:rsidR="00E70997" w:rsidRP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The CSV version includes the following fields which, due to space constraints, are not included in the PDF version:</w:t>
            </w:r>
          </w:p>
          <w:p w14:paraId="35928B12"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Company</w:t>
            </w:r>
          </w:p>
          <w:p w14:paraId="51EDF007"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Department ID</w:t>
            </w:r>
          </w:p>
          <w:p w14:paraId="301E291E"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Job Effective Date</w:t>
            </w:r>
          </w:p>
          <w:p w14:paraId="101C1EF2"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HR Status</w:t>
            </w:r>
          </w:p>
          <w:p w14:paraId="21DBE27D"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Payroll Status</w:t>
            </w:r>
          </w:p>
          <w:p w14:paraId="0B8C8E36"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Plan Type</w:t>
            </w:r>
          </w:p>
          <w:p w14:paraId="2A3854F5"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Coverage Begin Date</w:t>
            </w:r>
          </w:p>
          <w:p w14:paraId="4E1FFC57"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Deduction Begin Date (Health Benefit Effective Date)</w:t>
            </w:r>
          </w:p>
          <w:p w14:paraId="3C207E6E"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Coverage Elect (E – Elect; W – Waived; T – Terminate)</w:t>
            </w:r>
          </w:p>
          <w:p w14:paraId="459F2039" w14:textId="77777777" w:rsidR="00E70997" w:rsidRPr="00E70997" w:rsidRDefault="00E70997" w:rsidP="00E7099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Expected Total Monthly Premium</w:t>
            </w:r>
          </w:p>
          <w:p w14:paraId="04A3F185" w14:textId="77777777" w:rsidR="00E70997" w:rsidRP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p>
          <w:p w14:paraId="20752162" w14:textId="77777777" w:rsidR="00E70997" w:rsidRP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 xml:space="preserve">The CSV version presents the Health Recon Exceptions data as it is in the underlying table in Cardinal. As such, this version does not include any grouping, subtotals, and grand totals which, along with Ded Class and Possible Action Required, are unique to the PDF version.  </w:t>
            </w:r>
          </w:p>
          <w:p w14:paraId="488E6A91" w14:textId="77777777" w:rsidR="00E70997" w:rsidRP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p>
          <w:p w14:paraId="1A9B1ED6" w14:textId="1899133B" w:rsidR="00E70997" w:rsidRDefault="00E70997"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r w:rsidRPr="00E70997">
              <w:rPr>
                <w:rFonts w:eastAsia="Aptos"/>
                <w:sz w:val="20"/>
              </w:rPr>
              <w:t xml:space="preserve">The Arrears Paid Back field is intentionally omitted from the CSV version. Automated arrears processing is not implemented in Cardinal </w:t>
            </w:r>
            <w:r w:rsidR="00AD5E09" w:rsidRPr="007079A4">
              <w:rPr>
                <w:rFonts w:eastAsia="Aptos"/>
                <w:sz w:val="20"/>
              </w:rPr>
              <w:t>HCM</w:t>
            </w:r>
            <w:r w:rsidRPr="00E70997">
              <w:rPr>
                <w:rFonts w:eastAsia="Aptos"/>
                <w:sz w:val="20"/>
              </w:rPr>
              <w:t xml:space="preserve">; therefore, the value in this field is always 0.00.  Cardinal intends to remove Arrears Paid Back from the PDF version at a later date. </w:t>
            </w:r>
          </w:p>
          <w:p w14:paraId="2A7A20D1" w14:textId="77777777" w:rsidR="008B755E" w:rsidRPr="00E70997" w:rsidRDefault="008B755E" w:rsidP="00E7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Aptos"/>
                <w:sz w:val="20"/>
              </w:rPr>
            </w:pPr>
          </w:p>
          <w:p w14:paraId="6A3C9860" w14:textId="77777777" w:rsidR="00E70997" w:rsidRPr="00E70997" w:rsidRDefault="00E70997" w:rsidP="00E70997">
            <w:pPr>
              <w:spacing w:line="252" w:lineRule="auto"/>
              <w:rPr>
                <w:rFonts w:eastAsia="Aptos"/>
                <w:sz w:val="20"/>
                <w14:ligatures w14:val="standardContextual"/>
              </w:rPr>
            </w:pPr>
            <w:r w:rsidRPr="00E70997">
              <w:rPr>
                <w:rFonts w:eastAsia="Aptos"/>
                <w:sz w:val="20"/>
                <w14:ligatures w14:val="standardContextual"/>
              </w:rPr>
              <w:t>Navigation:  Menu &gt; Benefits &gt; Reports &gt; Health Benefit Recon Exception</w:t>
            </w:r>
          </w:p>
        </w:tc>
      </w:tr>
    </w:tbl>
    <w:p w14:paraId="49194346" w14:textId="77777777" w:rsidR="00A21259" w:rsidRDefault="00A21259" w:rsidP="00334F68">
      <w:pPr>
        <w:pStyle w:val="BlockLine"/>
        <w:spacing w:before="120"/>
        <w:ind w:left="1699"/>
        <w:rPr>
          <w:sz w:val="8"/>
          <w:szCs w:val="8"/>
        </w:rPr>
      </w:pPr>
    </w:p>
    <w:p w14:paraId="5C599ABE" w14:textId="05F1A735" w:rsidR="0040783D" w:rsidRPr="00B47C1A" w:rsidRDefault="0040783D" w:rsidP="0040783D">
      <w:pPr>
        <w:rPr>
          <w:b/>
          <w:szCs w:val="24"/>
        </w:rPr>
      </w:pPr>
      <w:r>
        <w:rPr>
          <w:b/>
          <w:szCs w:val="24"/>
        </w:rPr>
        <w:t>HCM Updates</w:t>
      </w:r>
    </w:p>
    <w:p w14:paraId="7492483B" w14:textId="77777777" w:rsidR="0040783D" w:rsidRPr="000E7BB1" w:rsidRDefault="0040783D" w:rsidP="00334F68">
      <w:pPr>
        <w:pStyle w:val="BlockLine"/>
        <w:spacing w:before="120"/>
        <w:ind w:left="1699"/>
        <w:rPr>
          <w:b/>
          <w:sz w:val="16"/>
          <w:szCs w:val="16"/>
        </w:rPr>
      </w:pPr>
    </w:p>
    <w:tbl>
      <w:tblPr>
        <w:tblW w:w="10803" w:type="dxa"/>
        <w:tblInd w:w="-3" w:type="dxa"/>
        <w:tblCellMar>
          <w:left w:w="0" w:type="dxa"/>
          <w:right w:w="0" w:type="dxa"/>
        </w:tblCellMar>
        <w:tblLook w:val="04A0" w:firstRow="1" w:lastRow="0" w:firstColumn="1" w:lastColumn="0" w:noHBand="0" w:noVBand="1"/>
      </w:tblPr>
      <w:tblGrid>
        <w:gridCol w:w="1713"/>
        <w:gridCol w:w="9090"/>
      </w:tblGrid>
      <w:tr w:rsidR="0040783D" w14:paraId="38A00CCE" w14:textId="77777777" w:rsidTr="007079A4">
        <w:tc>
          <w:tcPr>
            <w:tcW w:w="1713" w:type="dxa"/>
            <w:tcMar>
              <w:top w:w="0" w:type="dxa"/>
              <w:left w:w="108" w:type="dxa"/>
              <w:bottom w:w="0" w:type="dxa"/>
              <w:right w:w="108" w:type="dxa"/>
            </w:tcMar>
            <w:hideMark/>
          </w:tcPr>
          <w:p w14:paraId="39F58EB9" w14:textId="77777777" w:rsidR="0040783D" w:rsidRPr="00C438C0" w:rsidRDefault="0040783D">
            <w:pPr>
              <w:rPr>
                <w:b/>
                <w:bCs/>
                <w:color w:val="000000"/>
                <w:sz w:val="22"/>
                <w:szCs w:val="22"/>
              </w:rPr>
            </w:pPr>
            <w:r w:rsidRPr="00C438C0">
              <w:rPr>
                <w:b/>
                <w:bCs/>
                <w:color w:val="000000"/>
                <w:sz w:val="22"/>
                <w:szCs w:val="22"/>
              </w:rPr>
              <w:t>COVA Payroll Register Report</w:t>
            </w:r>
          </w:p>
        </w:tc>
        <w:tc>
          <w:tcPr>
            <w:tcW w:w="9090" w:type="dxa"/>
            <w:tcMar>
              <w:top w:w="0" w:type="dxa"/>
              <w:left w:w="108" w:type="dxa"/>
              <w:bottom w:w="0" w:type="dxa"/>
              <w:right w:w="108" w:type="dxa"/>
            </w:tcMar>
            <w:hideMark/>
          </w:tcPr>
          <w:p w14:paraId="1C7110D9" w14:textId="6C67368F" w:rsidR="0040783D" w:rsidRPr="0040783D" w:rsidRDefault="0040783D">
            <w:pPr>
              <w:rPr>
                <w:color w:val="000000"/>
                <w:sz w:val="20"/>
              </w:rPr>
            </w:pPr>
            <w:r w:rsidRPr="0040783D">
              <w:rPr>
                <w:color w:val="000000"/>
                <w:sz w:val="20"/>
              </w:rPr>
              <w:t>Negative values</w:t>
            </w:r>
            <w:r>
              <w:rPr>
                <w:color w:val="000000"/>
                <w:sz w:val="20"/>
              </w:rPr>
              <w:t xml:space="preserve"> are now identified by “-</w:t>
            </w:r>
            <w:r w:rsidR="008B755E">
              <w:rPr>
                <w:color w:val="000000"/>
                <w:sz w:val="20"/>
              </w:rPr>
              <w:t>“</w:t>
            </w:r>
            <w:r>
              <w:rPr>
                <w:color w:val="000000"/>
                <w:sz w:val="20"/>
              </w:rPr>
              <w:t xml:space="preserve"> </w:t>
            </w:r>
            <w:r w:rsidR="008B755E">
              <w:rPr>
                <w:color w:val="000000"/>
                <w:sz w:val="20"/>
              </w:rPr>
              <w:t xml:space="preserve">found </w:t>
            </w:r>
            <w:r>
              <w:rPr>
                <w:color w:val="000000"/>
                <w:sz w:val="20"/>
              </w:rPr>
              <w:t>to</w:t>
            </w:r>
            <w:r w:rsidRPr="0040783D">
              <w:rPr>
                <w:color w:val="000000"/>
                <w:sz w:val="20"/>
              </w:rPr>
              <w:t xml:space="preserve"> the left of th</w:t>
            </w:r>
            <w:r>
              <w:rPr>
                <w:color w:val="000000"/>
                <w:sz w:val="20"/>
              </w:rPr>
              <w:t>e</w:t>
            </w:r>
            <w:r w:rsidRPr="0040783D">
              <w:rPr>
                <w:color w:val="000000"/>
                <w:sz w:val="20"/>
              </w:rPr>
              <w:t xml:space="preserve"> number</w:t>
            </w:r>
            <w:r w:rsidR="008B755E">
              <w:rPr>
                <w:color w:val="000000"/>
                <w:sz w:val="20"/>
              </w:rPr>
              <w:t>.</w:t>
            </w:r>
            <w:r w:rsidRPr="0040783D">
              <w:rPr>
                <w:color w:val="000000"/>
                <w:sz w:val="20"/>
              </w:rPr>
              <w:br/>
            </w:r>
            <w:r w:rsidRPr="0040783D">
              <w:rPr>
                <w:color w:val="000000"/>
                <w:sz w:val="20"/>
              </w:rPr>
              <w:br/>
              <w:t xml:space="preserve">SPOT transactions </w:t>
            </w:r>
            <w:r w:rsidR="008B755E">
              <w:rPr>
                <w:color w:val="000000"/>
                <w:sz w:val="20"/>
              </w:rPr>
              <w:t xml:space="preserve">for </w:t>
            </w:r>
            <w:r w:rsidRPr="0040783D">
              <w:rPr>
                <w:color w:val="000000"/>
                <w:sz w:val="20"/>
              </w:rPr>
              <w:t xml:space="preserve">Regular </w:t>
            </w:r>
            <w:r w:rsidR="008B755E">
              <w:rPr>
                <w:color w:val="000000"/>
                <w:sz w:val="20"/>
              </w:rPr>
              <w:t>p</w:t>
            </w:r>
            <w:r w:rsidRPr="0040783D">
              <w:rPr>
                <w:color w:val="000000"/>
                <w:sz w:val="20"/>
              </w:rPr>
              <w:t>ay</w:t>
            </w:r>
            <w:r w:rsidR="008B755E">
              <w:rPr>
                <w:color w:val="000000"/>
                <w:sz w:val="20"/>
              </w:rPr>
              <w:t xml:space="preserve"> will be displayed separately from </w:t>
            </w:r>
            <w:r w:rsidRPr="0040783D">
              <w:rPr>
                <w:color w:val="000000"/>
                <w:sz w:val="20"/>
              </w:rPr>
              <w:t xml:space="preserve">the calculation of Regular pay pulled from Job Data </w:t>
            </w:r>
            <w:r w:rsidR="008B755E">
              <w:rPr>
                <w:color w:val="000000"/>
                <w:sz w:val="20"/>
              </w:rPr>
              <w:t>to</w:t>
            </w:r>
            <w:r w:rsidRPr="0040783D">
              <w:rPr>
                <w:color w:val="000000"/>
                <w:sz w:val="20"/>
              </w:rPr>
              <w:t xml:space="preserve"> allow the user to see an accurate breakdown of the Regular pay amount (from Job Data and the amount entered in SPOT)</w:t>
            </w:r>
            <w:r w:rsidR="008B755E">
              <w:rPr>
                <w:color w:val="000000"/>
                <w:sz w:val="20"/>
              </w:rPr>
              <w:t>.</w:t>
            </w:r>
            <w:r w:rsidRPr="0040783D">
              <w:rPr>
                <w:color w:val="000000"/>
                <w:sz w:val="20"/>
              </w:rPr>
              <w:br/>
            </w:r>
            <w:r w:rsidRPr="0040783D">
              <w:rPr>
                <w:color w:val="000000"/>
                <w:sz w:val="20"/>
              </w:rPr>
              <w:br/>
              <w:t>Non-Productive time is processed as Regular pay in Cardinal</w:t>
            </w:r>
            <w:r w:rsidR="008B755E">
              <w:rPr>
                <w:color w:val="000000"/>
                <w:sz w:val="20"/>
              </w:rPr>
              <w:t xml:space="preserve"> and will no longer be displayed on the Payroll Register</w:t>
            </w:r>
            <w:r w:rsidRPr="0040783D">
              <w:rPr>
                <w:color w:val="000000"/>
                <w:sz w:val="20"/>
              </w:rPr>
              <w:t xml:space="preserve">.  </w:t>
            </w:r>
          </w:p>
        </w:tc>
      </w:tr>
    </w:tbl>
    <w:p w14:paraId="02FFCA33" w14:textId="77777777" w:rsidR="00334F68" w:rsidRPr="000E7BB1" w:rsidRDefault="00334F68" w:rsidP="00334F68">
      <w:pPr>
        <w:pStyle w:val="BlockLine"/>
        <w:spacing w:before="120"/>
        <w:ind w:left="1699"/>
        <w:rPr>
          <w:b/>
          <w:sz w:val="16"/>
          <w:szCs w:val="16"/>
        </w:rPr>
      </w:pPr>
    </w:p>
    <w:tbl>
      <w:tblPr>
        <w:tblW w:w="10803" w:type="dxa"/>
        <w:tblInd w:w="-3" w:type="dxa"/>
        <w:tblCellMar>
          <w:left w:w="0" w:type="dxa"/>
          <w:right w:w="0" w:type="dxa"/>
        </w:tblCellMar>
        <w:tblLook w:val="04A0" w:firstRow="1" w:lastRow="0" w:firstColumn="1" w:lastColumn="0" w:noHBand="0" w:noVBand="1"/>
      </w:tblPr>
      <w:tblGrid>
        <w:gridCol w:w="1713"/>
        <w:gridCol w:w="9090"/>
      </w:tblGrid>
      <w:tr w:rsidR="00334F68" w:rsidRPr="00334F68" w14:paraId="562A6F04" w14:textId="77777777" w:rsidTr="00E0084D">
        <w:tc>
          <w:tcPr>
            <w:tcW w:w="1713" w:type="dxa"/>
            <w:tcMar>
              <w:top w:w="0" w:type="dxa"/>
              <w:left w:w="108" w:type="dxa"/>
              <w:bottom w:w="0" w:type="dxa"/>
              <w:right w:w="108" w:type="dxa"/>
            </w:tcMar>
            <w:hideMark/>
          </w:tcPr>
          <w:p w14:paraId="2E1B2EF1" w14:textId="77777777" w:rsidR="00334F68" w:rsidRPr="00334F68" w:rsidRDefault="00334F68" w:rsidP="00334F68">
            <w:pPr>
              <w:rPr>
                <w:b/>
                <w:bCs/>
                <w:sz w:val="22"/>
                <w:szCs w:val="22"/>
              </w:rPr>
            </w:pPr>
            <w:r w:rsidRPr="00334F68">
              <w:rPr>
                <w:b/>
                <w:bCs/>
                <w:sz w:val="22"/>
                <w:szCs w:val="22"/>
              </w:rPr>
              <w:t>Employees with FICA Exempt Query</w:t>
            </w:r>
          </w:p>
        </w:tc>
        <w:tc>
          <w:tcPr>
            <w:tcW w:w="9090" w:type="dxa"/>
            <w:tcMar>
              <w:top w:w="0" w:type="dxa"/>
              <w:left w:w="108" w:type="dxa"/>
              <w:bottom w:w="0" w:type="dxa"/>
              <w:right w:w="108" w:type="dxa"/>
            </w:tcMar>
            <w:hideMark/>
          </w:tcPr>
          <w:p w14:paraId="63E4A8BE" w14:textId="77777777" w:rsidR="00334F68" w:rsidRPr="00334F68" w:rsidRDefault="00334F68" w:rsidP="00334F68">
            <w:pPr>
              <w:rPr>
                <w:sz w:val="20"/>
              </w:rPr>
            </w:pPr>
            <w:r w:rsidRPr="00334F68">
              <w:rPr>
                <w:sz w:val="20"/>
              </w:rPr>
              <w:t>V_PY_EE_FICA_TAX_EXEMPT query updated to pull employees set to a status of exempt and Medicare Only.  Includes Employee Class, Position and Last Pay Date.</w:t>
            </w:r>
          </w:p>
        </w:tc>
      </w:tr>
    </w:tbl>
    <w:p w14:paraId="29FCC5FE" w14:textId="77777777" w:rsidR="00334F68" w:rsidRPr="000E7BB1" w:rsidRDefault="00334F68" w:rsidP="00334F68">
      <w:pPr>
        <w:pStyle w:val="BlockLine"/>
        <w:spacing w:before="120"/>
        <w:ind w:left="1699"/>
        <w:rPr>
          <w:b/>
          <w:sz w:val="16"/>
          <w:szCs w:val="16"/>
        </w:rPr>
      </w:pPr>
    </w:p>
    <w:tbl>
      <w:tblPr>
        <w:tblW w:w="10803" w:type="dxa"/>
        <w:tblInd w:w="-3" w:type="dxa"/>
        <w:tblCellMar>
          <w:left w:w="0" w:type="dxa"/>
          <w:right w:w="0" w:type="dxa"/>
        </w:tblCellMar>
        <w:tblLook w:val="04A0" w:firstRow="1" w:lastRow="0" w:firstColumn="1" w:lastColumn="0" w:noHBand="0" w:noVBand="1"/>
      </w:tblPr>
      <w:tblGrid>
        <w:gridCol w:w="1713"/>
        <w:gridCol w:w="9090"/>
      </w:tblGrid>
      <w:tr w:rsidR="00334F68" w:rsidRPr="00334F68" w14:paraId="65C40C84" w14:textId="77777777" w:rsidTr="00E0084D">
        <w:tc>
          <w:tcPr>
            <w:tcW w:w="1713" w:type="dxa"/>
            <w:tcMar>
              <w:top w:w="0" w:type="dxa"/>
              <w:left w:w="108" w:type="dxa"/>
              <w:bottom w:w="0" w:type="dxa"/>
              <w:right w:w="108" w:type="dxa"/>
            </w:tcMar>
            <w:hideMark/>
          </w:tcPr>
          <w:p w14:paraId="5E3EE791" w14:textId="77777777" w:rsidR="00334F68" w:rsidRPr="00334F68" w:rsidRDefault="00334F68" w:rsidP="00E0084D">
            <w:pPr>
              <w:rPr>
                <w:b/>
                <w:bCs/>
                <w:sz w:val="22"/>
                <w:szCs w:val="22"/>
              </w:rPr>
            </w:pPr>
            <w:r w:rsidRPr="00334F68">
              <w:rPr>
                <w:b/>
                <w:bCs/>
                <w:sz w:val="22"/>
                <w:szCs w:val="22"/>
              </w:rPr>
              <w:t>VRS Missing Query</w:t>
            </w:r>
          </w:p>
        </w:tc>
        <w:tc>
          <w:tcPr>
            <w:tcW w:w="9090" w:type="dxa"/>
            <w:tcMar>
              <w:top w:w="0" w:type="dxa"/>
              <w:left w:w="108" w:type="dxa"/>
              <w:bottom w:w="0" w:type="dxa"/>
              <w:right w:w="108" w:type="dxa"/>
            </w:tcMar>
            <w:hideMark/>
          </w:tcPr>
          <w:p w14:paraId="2E469B64" w14:textId="77777777" w:rsidR="00334F68" w:rsidRPr="00334F68" w:rsidRDefault="00334F68" w:rsidP="00E0084D">
            <w:pPr>
              <w:rPr>
                <w:sz w:val="20"/>
              </w:rPr>
            </w:pPr>
            <w:r w:rsidRPr="00334F68">
              <w:rPr>
                <w:sz w:val="20"/>
              </w:rPr>
              <w:t xml:space="preserve">Various updates to include pulling action reason, date of hire, and Problem field which clearly identifies the issue.  </w:t>
            </w:r>
          </w:p>
        </w:tc>
      </w:tr>
    </w:tbl>
    <w:p w14:paraId="61447558" w14:textId="77777777" w:rsidR="00334F68" w:rsidRPr="000E7BB1" w:rsidRDefault="00334F68" w:rsidP="00334F68">
      <w:pPr>
        <w:pStyle w:val="BlockLine"/>
        <w:spacing w:before="120"/>
        <w:ind w:left="1699"/>
        <w:rPr>
          <w:b/>
          <w:sz w:val="16"/>
          <w:szCs w:val="16"/>
        </w:rPr>
      </w:pPr>
    </w:p>
    <w:tbl>
      <w:tblPr>
        <w:tblW w:w="10803" w:type="dxa"/>
        <w:tblInd w:w="-3" w:type="dxa"/>
        <w:tblCellMar>
          <w:left w:w="0" w:type="dxa"/>
          <w:right w:w="0" w:type="dxa"/>
        </w:tblCellMar>
        <w:tblLook w:val="04A0" w:firstRow="1" w:lastRow="0" w:firstColumn="1" w:lastColumn="0" w:noHBand="0" w:noVBand="1"/>
      </w:tblPr>
      <w:tblGrid>
        <w:gridCol w:w="1713"/>
        <w:gridCol w:w="9090"/>
      </w:tblGrid>
      <w:tr w:rsidR="00334F68" w:rsidRPr="00334F68" w14:paraId="61C3198A" w14:textId="77777777" w:rsidTr="00E0084D">
        <w:tc>
          <w:tcPr>
            <w:tcW w:w="1713" w:type="dxa"/>
            <w:tcMar>
              <w:top w:w="0" w:type="dxa"/>
              <w:left w:w="108" w:type="dxa"/>
              <w:bottom w:w="0" w:type="dxa"/>
              <w:right w:w="108" w:type="dxa"/>
            </w:tcMar>
            <w:hideMark/>
          </w:tcPr>
          <w:p w14:paraId="1893727F" w14:textId="77777777" w:rsidR="00334F68" w:rsidRPr="00334F68" w:rsidRDefault="00334F68" w:rsidP="00E0084D">
            <w:pPr>
              <w:rPr>
                <w:b/>
                <w:bCs/>
                <w:sz w:val="22"/>
                <w:szCs w:val="22"/>
              </w:rPr>
            </w:pPr>
            <w:r w:rsidRPr="00334F68">
              <w:rPr>
                <w:b/>
                <w:bCs/>
                <w:sz w:val="22"/>
                <w:szCs w:val="22"/>
              </w:rPr>
              <w:t>Additional Pay Query</w:t>
            </w:r>
          </w:p>
        </w:tc>
        <w:tc>
          <w:tcPr>
            <w:tcW w:w="9090" w:type="dxa"/>
            <w:tcMar>
              <w:top w:w="0" w:type="dxa"/>
              <w:left w:w="108" w:type="dxa"/>
              <w:bottom w:w="0" w:type="dxa"/>
              <w:right w:w="108" w:type="dxa"/>
            </w:tcMar>
            <w:hideMark/>
          </w:tcPr>
          <w:p w14:paraId="6B9C2EFA" w14:textId="49281199" w:rsidR="00334F68" w:rsidRPr="00334F68" w:rsidRDefault="00334F68" w:rsidP="00E0084D">
            <w:pPr>
              <w:rPr>
                <w:sz w:val="20"/>
              </w:rPr>
            </w:pPr>
            <w:r w:rsidRPr="00334F68">
              <w:rPr>
                <w:sz w:val="20"/>
              </w:rPr>
              <w:t>Chartfields specified in additional pay records are now included in the Addl Pay Data Query</w:t>
            </w:r>
            <w:r w:rsidR="00C438C0">
              <w:rPr>
                <w:sz w:val="20"/>
              </w:rPr>
              <w:t>.</w:t>
            </w:r>
          </w:p>
        </w:tc>
      </w:tr>
    </w:tbl>
    <w:p w14:paraId="1A569A2C" w14:textId="77777777" w:rsidR="00334F68" w:rsidRPr="000E7BB1" w:rsidRDefault="00334F68" w:rsidP="00334F68">
      <w:pPr>
        <w:pStyle w:val="BlockLine"/>
        <w:spacing w:before="120"/>
        <w:ind w:left="1699"/>
        <w:rPr>
          <w:b/>
          <w:sz w:val="16"/>
          <w:szCs w:val="16"/>
        </w:rPr>
      </w:pPr>
    </w:p>
    <w:p w14:paraId="47B57D44" w14:textId="77777777" w:rsidR="00334F68" w:rsidRDefault="00334F68" w:rsidP="0040783D"/>
    <w:sectPr w:rsidR="00334F68" w:rsidSect="00D116F1">
      <w:headerReference w:type="even" r:id="rId8"/>
      <w:headerReference w:type="default" r:id="rId9"/>
      <w:footerReference w:type="even" r:id="rId10"/>
      <w:footerReference w:type="default" r:id="rId11"/>
      <w:pgSz w:w="12240" w:h="15840" w:code="1"/>
      <w:pgMar w:top="360" w:right="720" w:bottom="90" w:left="720" w:header="288" w:footer="16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0547" w14:textId="77777777" w:rsidR="001F28B6" w:rsidRDefault="001F28B6" w:rsidP="007C617C">
      <w:pPr>
        <w:pStyle w:val="TableText"/>
      </w:pPr>
      <w:r>
        <w:separator/>
      </w:r>
    </w:p>
  </w:endnote>
  <w:endnote w:type="continuationSeparator" w:id="0">
    <w:p w14:paraId="22EB7B21" w14:textId="77777777" w:rsidR="001F28B6" w:rsidRDefault="001F28B6"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E4BD" w14:textId="77777777" w:rsidR="001F28B6" w:rsidRDefault="001F28B6">
    <w:pPr>
      <w:pStyle w:val="Footer"/>
      <w:framePr w:wrap="around" w:vAnchor="text" w:hAnchor="margin" w:xAlign="outside" w:y="1"/>
    </w:pPr>
    <w:r>
      <w:fldChar w:fldCharType="begin"/>
    </w:r>
    <w:r>
      <w:instrText xml:space="preserve">PAGE  </w:instrText>
    </w:r>
    <w:r>
      <w:fldChar w:fldCharType="end"/>
    </w:r>
  </w:p>
  <w:p w14:paraId="0B22F138" w14:textId="77777777" w:rsidR="001F28B6" w:rsidRDefault="001F28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0FAD" w14:textId="77777777" w:rsidR="001F28B6" w:rsidRPr="00D116F1" w:rsidRDefault="001F28B6" w:rsidP="00D116F1">
    <w:pPr>
      <w:pBdr>
        <w:top w:val="single" w:sz="6" w:space="0" w:color="auto"/>
      </w:pBdr>
      <w:tabs>
        <w:tab w:val="left" w:pos="5940"/>
      </w:tabs>
      <w:ind w:right="-414"/>
      <w:jc w:val="center"/>
      <w:rPr>
        <w:rFonts w:ascii="Verdana" w:hAnsi="Verdana"/>
        <w:i/>
        <w:snapToGrid w:val="0"/>
        <w:sz w:val="20"/>
      </w:rPr>
    </w:pPr>
    <w:r>
      <w:rPr>
        <w:snapToGrid w:val="0"/>
        <w:sz w:val="20"/>
      </w:rPr>
      <w:t xml:space="preserve">Page </w:t>
    </w:r>
    <w:r>
      <w:rPr>
        <w:snapToGrid w:val="0"/>
        <w:sz w:val="20"/>
      </w:rPr>
      <w:fldChar w:fldCharType="begin"/>
    </w:r>
    <w:r>
      <w:rPr>
        <w:snapToGrid w:val="0"/>
        <w:sz w:val="20"/>
      </w:rPr>
      <w:instrText xml:space="preserve"> PAGE  \* Arabic  \* MERGEFORMAT </w:instrText>
    </w:r>
    <w:r>
      <w:rPr>
        <w:snapToGrid w:val="0"/>
        <w:sz w:val="20"/>
      </w:rPr>
      <w:fldChar w:fldCharType="separate"/>
    </w:r>
    <w:r w:rsidR="006C47F5">
      <w:rPr>
        <w:noProof/>
        <w:snapToGrid w:val="0"/>
        <w:sz w:val="20"/>
      </w:rPr>
      <w:t>8</w:t>
    </w:r>
    <w:r>
      <w:rPr>
        <w:snapToGrid w:val="0"/>
        <w:sz w:val="20"/>
      </w:rPr>
      <w:fldChar w:fldCharType="end"/>
    </w:r>
  </w:p>
  <w:p w14:paraId="2EF054BD" w14:textId="77777777" w:rsidR="001F28B6" w:rsidRPr="0014790A" w:rsidRDefault="008620DF" w:rsidP="005D21AF">
    <w:pPr>
      <w:pStyle w:val="NormalWeb"/>
      <w:jc w:val="center"/>
      <w:rPr>
        <w:i/>
        <w:snapToGrid w:val="0"/>
        <w:sz w:val="20"/>
        <w:szCs w:val="20"/>
      </w:rPr>
    </w:pPr>
    <w:hyperlink r:id="rId1" w:tooltip="http://www.doa.virginia.gov/Payroll/Payroll_Bulletins/Payroll_Bulletins_Main.cfm" w:history="1">
      <w:r w:rsidR="001F28B6" w:rsidRPr="0014790A">
        <w:rPr>
          <w:rStyle w:val="Hyperlink"/>
          <w:i/>
          <w:iCs/>
          <w:snapToGrid w:val="0"/>
          <w:color w:val="auto"/>
          <w:sz w:val="20"/>
          <w:szCs w:val="20"/>
        </w:rPr>
        <w:t>http://www.doa.virginia.gov/Payroll/Payroll_Bulletins/Payroll_Bulletins_Main.cfm</w:t>
      </w:r>
    </w:hyperlink>
  </w:p>
  <w:p w14:paraId="54EF97EC" w14:textId="77777777" w:rsidR="001F28B6" w:rsidRDefault="001F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A9C0" w14:textId="77777777" w:rsidR="001F28B6" w:rsidRDefault="001F28B6" w:rsidP="007C617C">
      <w:pPr>
        <w:pStyle w:val="TableText"/>
      </w:pPr>
      <w:r>
        <w:separator/>
      </w:r>
    </w:p>
  </w:footnote>
  <w:footnote w:type="continuationSeparator" w:id="0">
    <w:p w14:paraId="5FBCE3A1" w14:textId="77777777" w:rsidR="001F28B6" w:rsidRDefault="001F28B6"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6F5C" w14:textId="77777777" w:rsidR="001F28B6" w:rsidRDefault="001F2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8D405" w14:textId="77777777" w:rsidR="001F28B6" w:rsidRDefault="001F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5672" w14:textId="77777777" w:rsidR="001F28B6" w:rsidRDefault="001F28B6">
    <w:pPr>
      <w:pStyle w:val="Header"/>
    </w:pPr>
  </w:p>
  <w:tbl>
    <w:tblPr>
      <w:tblW w:w="10800" w:type="dxa"/>
      <w:tblLayout w:type="fixed"/>
      <w:tblLook w:val="0000" w:firstRow="0" w:lastRow="0" w:firstColumn="0" w:lastColumn="0" w:noHBand="0" w:noVBand="0"/>
    </w:tblPr>
    <w:tblGrid>
      <w:gridCol w:w="3366"/>
      <w:gridCol w:w="3366"/>
      <w:gridCol w:w="4068"/>
    </w:tblGrid>
    <w:tr w:rsidR="001F28B6" w14:paraId="73733DF1" w14:textId="77777777" w:rsidTr="008411C2">
      <w:trPr>
        <w:cantSplit/>
      </w:trPr>
      <w:tc>
        <w:tcPr>
          <w:tcW w:w="3366" w:type="dxa"/>
          <w:tcBorders>
            <w:bottom w:val="double" w:sz="6" w:space="0" w:color="auto"/>
          </w:tcBorders>
        </w:tcPr>
        <w:p w14:paraId="711C363E" w14:textId="3BEF82FE" w:rsidR="001F28B6" w:rsidRDefault="001F28B6" w:rsidP="006C2E6C">
          <w:pPr>
            <w:pStyle w:val="Header"/>
            <w:rPr>
              <w:b/>
              <w:sz w:val="20"/>
            </w:rPr>
          </w:pPr>
          <w:r>
            <w:rPr>
              <w:b/>
              <w:sz w:val="20"/>
            </w:rPr>
            <w:t xml:space="preserve">Calendar Year </w:t>
          </w:r>
          <w:r w:rsidR="003F1980">
            <w:rPr>
              <w:b/>
              <w:sz w:val="20"/>
            </w:rPr>
            <w:t>202</w:t>
          </w:r>
          <w:r w:rsidR="00B46AEB">
            <w:rPr>
              <w:b/>
              <w:sz w:val="20"/>
            </w:rPr>
            <w:t>4</w:t>
          </w:r>
        </w:p>
      </w:tc>
      <w:tc>
        <w:tcPr>
          <w:tcW w:w="3366" w:type="dxa"/>
          <w:tcBorders>
            <w:bottom w:val="double" w:sz="6" w:space="0" w:color="auto"/>
          </w:tcBorders>
        </w:tcPr>
        <w:p w14:paraId="6259D8C4" w14:textId="289F381F" w:rsidR="001F28B6" w:rsidRDefault="000D5060" w:rsidP="00BF7A44">
          <w:pPr>
            <w:pStyle w:val="Header"/>
            <w:jc w:val="center"/>
            <w:rPr>
              <w:b/>
              <w:sz w:val="20"/>
            </w:rPr>
          </w:pPr>
          <w:r>
            <w:rPr>
              <w:b/>
              <w:sz w:val="20"/>
            </w:rPr>
            <w:t>June 11</w:t>
          </w:r>
          <w:r w:rsidR="001F28B6">
            <w:rPr>
              <w:b/>
              <w:sz w:val="20"/>
            </w:rPr>
            <w:t xml:space="preserve">, </w:t>
          </w:r>
          <w:r w:rsidR="003F1980">
            <w:rPr>
              <w:b/>
              <w:sz w:val="20"/>
            </w:rPr>
            <w:t>202</w:t>
          </w:r>
          <w:r w:rsidR="00B46AEB">
            <w:rPr>
              <w:b/>
              <w:sz w:val="20"/>
            </w:rPr>
            <w:t>4</w:t>
          </w:r>
        </w:p>
      </w:tc>
      <w:tc>
        <w:tcPr>
          <w:tcW w:w="4068" w:type="dxa"/>
          <w:tcBorders>
            <w:bottom w:val="double" w:sz="6" w:space="0" w:color="auto"/>
          </w:tcBorders>
        </w:tcPr>
        <w:p w14:paraId="2BDDB4F1" w14:textId="41DA7B0A" w:rsidR="001F28B6" w:rsidRDefault="001F28B6" w:rsidP="00383489">
          <w:pPr>
            <w:pStyle w:val="Header"/>
            <w:jc w:val="right"/>
            <w:rPr>
              <w:b/>
              <w:sz w:val="20"/>
            </w:rPr>
          </w:pPr>
          <w:r>
            <w:rPr>
              <w:b/>
              <w:sz w:val="20"/>
            </w:rPr>
            <w:t>Volume #</w:t>
          </w:r>
          <w:r w:rsidR="003F1980">
            <w:rPr>
              <w:b/>
              <w:sz w:val="20"/>
            </w:rPr>
            <w:t>202</w:t>
          </w:r>
          <w:r w:rsidR="00B46AEB">
            <w:rPr>
              <w:b/>
              <w:sz w:val="20"/>
            </w:rPr>
            <w:t>4</w:t>
          </w:r>
          <w:r>
            <w:rPr>
              <w:b/>
              <w:sz w:val="20"/>
            </w:rPr>
            <w:t>-</w:t>
          </w:r>
          <w:r w:rsidR="00AD56A4">
            <w:rPr>
              <w:b/>
              <w:sz w:val="20"/>
            </w:rPr>
            <w:t>0</w:t>
          </w:r>
          <w:r w:rsidR="000D5060">
            <w:rPr>
              <w:b/>
              <w:sz w:val="20"/>
            </w:rPr>
            <w:t>9</w:t>
          </w:r>
        </w:p>
      </w:tc>
    </w:tr>
  </w:tbl>
  <w:p w14:paraId="271C2FD4" w14:textId="77777777" w:rsidR="001F28B6" w:rsidRDefault="001F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AF8"/>
    <w:multiLevelType w:val="hybridMultilevel"/>
    <w:tmpl w:val="FFC0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671866">
    <w:abstractNumId w:val="1"/>
  </w:num>
  <w:num w:numId="2" w16cid:durableId="1844928692">
    <w:abstractNumId w:val="2"/>
  </w:num>
  <w:num w:numId="3" w16cid:durableId="1355571706">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07223"/>
    <w:rsid w:val="000121C0"/>
    <w:rsid w:val="00015231"/>
    <w:rsid w:val="00016EE3"/>
    <w:rsid w:val="0001760B"/>
    <w:rsid w:val="00020AC4"/>
    <w:rsid w:val="00022E7D"/>
    <w:rsid w:val="00023C30"/>
    <w:rsid w:val="00025B28"/>
    <w:rsid w:val="00025C86"/>
    <w:rsid w:val="000311C2"/>
    <w:rsid w:val="00031858"/>
    <w:rsid w:val="00031A8E"/>
    <w:rsid w:val="00031C2F"/>
    <w:rsid w:val="000325BD"/>
    <w:rsid w:val="0003301F"/>
    <w:rsid w:val="00034850"/>
    <w:rsid w:val="00034A69"/>
    <w:rsid w:val="00034ABB"/>
    <w:rsid w:val="00035044"/>
    <w:rsid w:val="00035F57"/>
    <w:rsid w:val="00036282"/>
    <w:rsid w:val="00037DBA"/>
    <w:rsid w:val="00041B60"/>
    <w:rsid w:val="00041FEB"/>
    <w:rsid w:val="000426F3"/>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3FB9"/>
    <w:rsid w:val="0006780E"/>
    <w:rsid w:val="00070458"/>
    <w:rsid w:val="00071EB0"/>
    <w:rsid w:val="000722EF"/>
    <w:rsid w:val="00072D1A"/>
    <w:rsid w:val="000736C4"/>
    <w:rsid w:val="00073D12"/>
    <w:rsid w:val="0007403B"/>
    <w:rsid w:val="00074937"/>
    <w:rsid w:val="0007606F"/>
    <w:rsid w:val="00077EAB"/>
    <w:rsid w:val="00080B1F"/>
    <w:rsid w:val="00081CDD"/>
    <w:rsid w:val="0008551E"/>
    <w:rsid w:val="000860EA"/>
    <w:rsid w:val="000868C7"/>
    <w:rsid w:val="00086DA9"/>
    <w:rsid w:val="00086DEB"/>
    <w:rsid w:val="00087B54"/>
    <w:rsid w:val="00091301"/>
    <w:rsid w:val="00097363"/>
    <w:rsid w:val="000A1457"/>
    <w:rsid w:val="000A1B5C"/>
    <w:rsid w:val="000A32EE"/>
    <w:rsid w:val="000A4F9D"/>
    <w:rsid w:val="000A5D83"/>
    <w:rsid w:val="000A634A"/>
    <w:rsid w:val="000A7A20"/>
    <w:rsid w:val="000B0BE5"/>
    <w:rsid w:val="000B3A75"/>
    <w:rsid w:val="000B46F3"/>
    <w:rsid w:val="000B598B"/>
    <w:rsid w:val="000B7BE3"/>
    <w:rsid w:val="000C23BF"/>
    <w:rsid w:val="000C2566"/>
    <w:rsid w:val="000C44E0"/>
    <w:rsid w:val="000C62B0"/>
    <w:rsid w:val="000C67E6"/>
    <w:rsid w:val="000C6E4C"/>
    <w:rsid w:val="000C7D97"/>
    <w:rsid w:val="000C7E02"/>
    <w:rsid w:val="000D0685"/>
    <w:rsid w:val="000D2A08"/>
    <w:rsid w:val="000D2CE5"/>
    <w:rsid w:val="000D3410"/>
    <w:rsid w:val="000D3694"/>
    <w:rsid w:val="000D4600"/>
    <w:rsid w:val="000D47F3"/>
    <w:rsid w:val="000D5060"/>
    <w:rsid w:val="000D59EF"/>
    <w:rsid w:val="000D666D"/>
    <w:rsid w:val="000D7AC2"/>
    <w:rsid w:val="000E0C56"/>
    <w:rsid w:val="000E1301"/>
    <w:rsid w:val="000E1869"/>
    <w:rsid w:val="000E1D04"/>
    <w:rsid w:val="000E3103"/>
    <w:rsid w:val="000E3A25"/>
    <w:rsid w:val="000E404F"/>
    <w:rsid w:val="000E537F"/>
    <w:rsid w:val="000E5838"/>
    <w:rsid w:val="000E68B8"/>
    <w:rsid w:val="000E7BB1"/>
    <w:rsid w:val="000E7D70"/>
    <w:rsid w:val="000F0117"/>
    <w:rsid w:val="000F0D6F"/>
    <w:rsid w:val="000F113D"/>
    <w:rsid w:val="000F187B"/>
    <w:rsid w:val="000F22DC"/>
    <w:rsid w:val="000F3786"/>
    <w:rsid w:val="000F3E48"/>
    <w:rsid w:val="000F6A8F"/>
    <w:rsid w:val="000F7EA6"/>
    <w:rsid w:val="00100D13"/>
    <w:rsid w:val="0010670B"/>
    <w:rsid w:val="00115C5B"/>
    <w:rsid w:val="00115E10"/>
    <w:rsid w:val="00117B7F"/>
    <w:rsid w:val="0012199B"/>
    <w:rsid w:val="001219C0"/>
    <w:rsid w:val="00121B17"/>
    <w:rsid w:val="00121D11"/>
    <w:rsid w:val="00123E43"/>
    <w:rsid w:val="00124944"/>
    <w:rsid w:val="001250AB"/>
    <w:rsid w:val="00125110"/>
    <w:rsid w:val="0012577F"/>
    <w:rsid w:val="001258D0"/>
    <w:rsid w:val="00125C84"/>
    <w:rsid w:val="00127A7B"/>
    <w:rsid w:val="00130A1B"/>
    <w:rsid w:val="00130FAB"/>
    <w:rsid w:val="0013114F"/>
    <w:rsid w:val="00131DF6"/>
    <w:rsid w:val="00132AB8"/>
    <w:rsid w:val="001356F4"/>
    <w:rsid w:val="00135F2B"/>
    <w:rsid w:val="00136A70"/>
    <w:rsid w:val="00141255"/>
    <w:rsid w:val="001418A6"/>
    <w:rsid w:val="00141BFF"/>
    <w:rsid w:val="001421DE"/>
    <w:rsid w:val="00143DFD"/>
    <w:rsid w:val="0014486F"/>
    <w:rsid w:val="00145DCD"/>
    <w:rsid w:val="00145FA6"/>
    <w:rsid w:val="00146FDC"/>
    <w:rsid w:val="001470AB"/>
    <w:rsid w:val="00150108"/>
    <w:rsid w:val="00150BA8"/>
    <w:rsid w:val="001514CE"/>
    <w:rsid w:val="00151D7E"/>
    <w:rsid w:val="001522AD"/>
    <w:rsid w:val="001524A6"/>
    <w:rsid w:val="001532E5"/>
    <w:rsid w:val="00156786"/>
    <w:rsid w:val="0016085E"/>
    <w:rsid w:val="00160C93"/>
    <w:rsid w:val="00162130"/>
    <w:rsid w:val="00162A21"/>
    <w:rsid w:val="001631B5"/>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0058"/>
    <w:rsid w:val="001911B1"/>
    <w:rsid w:val="0019228A"/>
    <w:rsid w:val="001924FC"/>
    <w:rsid w:val="00196BB8"/>
    <w:rsid w:val="0019734E"/>
    <w:rsid w:val="001976CC"/>
    <w:rsid w:val="001A0BC9"/>
    <w:rsid w:val="001A2949"/>
    <w:rsid w:val="001A4772"/>
    <w:rsid w:val="001B0195"/>
    <w:rsid w:val="001B020C"/>
    <w:rsid w:val="001B04E9"/>
    <w:rsid w:val="001B056C"/>
    <w:rsid w:val="001B1CCE"/>
    <w:rsid w:val="001B3A21"/>
    <w:rsid w:val="001B416C"/>
    <w:rsid w:val="001B658E"/>
    <w:rsid w:val="001B77D1"/>
    <w:rsid w:val="001C228D"/>
    <w:rsid w:val="001C30AB"/>
    <w:rsid w:val="001C5105"/>
    <w:rsid w:val="001C5E8D"/>
    <w:rsid w:val="001C67D9"/>
    <w:rsid w:val="001C7234"/>
    <w:rsid w:val="001D0C3A"/>
    <w:rsid w:val="001D13F4"/>
    <w:rsid w:val="001D1433"/>
    <w:rsid w:val="001D149B"/>
    <w:rsid w:val="001D2858"/>
    <w:rsid w:val="001D3036"/>
    <w:rsid w:val="001D3859"/>
    <w:rsid w:val="001D4288"/>
    <w:rsid w:val="001D5D33"/>
    <w:rsid w:val="001D5D8F"/>
    <w:rsid w:val="001E0B62"/>
    <w:rsid w:val="001E229E"/>
    <w:rsid w:val="001E2A7B"/>
    <w:rsid w:val="001E2CFE"/>
    <w:rsid w:val="001E2E1B"/>
    <w:rsid w:val="001E41D5"/>
    <w:rsid w:val="001E6E76"/>
    <w:rsid w:val="001F0A04"/>
    <w:rsid w:val="001F0A73"/>
    <w:rsid w:val="001F166C"/>
    <w:rsid w:val="001F28B6"/>
    <w:rsid w:val="001F3835"/>
    <w:rsid w:val="001F58EC"/>
    <w:rsid w:val="001F5CA0"/>
    <w:rsid w:val="001F7FFC"/>
    <w:rsid w:val="00200C55"/>
    <w:rsid w:val="0020570E"/>
    <w:rsid w:val="0020634A"/>
    <w:rsid w:val="0020718C"/>
    <w:rsid w:val="00211B19"/>
    <w:rsid w:val="00212381"/>
    <w:rsid w:val="00213E24"/>
    <w:rsid w:val="00214A28"/>
    <w:rsid w:val="00216D6B"/>
    <w:rsid w:val="00217709"/>
    <w:rsid w:val="00221021"/>
    <w:rsid w:val="002215EE"/>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358"/>
    <w:rsid w:val="00252C61"/>
    <w:rsid w:val="00253BB5"/>
    <w:rsid w:val="00254854"/>
    <w:rsid w:val="00255FBC"/>
    <w:rsid w:val="002561AC"/>
    <w:rsid w:val="002567E8"/>
    <w:rsid w:val="00257538"/>
    <w:rsid w:val="00260D48"/>
    <w:rsid w:val="00260FA4"/>
    <w:rsid w:val="002616D8"/>
    <w:rsid w:val="00262261"/>
    <w:rsid w:val="002622A3"/>
    <w:rsid w:val="00264DBB"/>
    <w:rsid w:val="00265865"/>
    <w:rsid w:val="002669E8"/>
    <w:rsid w:val="002677C1"/>
    <w:rsid w:val="00267C84"/>
    <w:rsid w:val="0027216E"/>
    <w:rsid w:val="00273430"/>
    <w:rsid w:val="002745C9"/>
    <w:rsid w:val="00274693"/>
    <w:rsid w:val="00276909"/>
    <w:rsid w:val="00277585"/>
    <w:rsid w:val="002775F4"/>
    <w:rsid w:val="00277BA3"/>
    <w:rsid w:val="002801C0"/>
    <w:rsid w:val="002801F8"/>
    <w:rsid w:val="00280263"/>
    <w:rsid w:val="00280AA4"/>
    <w:rsid w:val="00282C28"/>
    <w:rsid w:val="00282D58"/>
    <w:rsid w:val="00282F2D"/>
    <w:rsid w:val="00283444"/>
    <w:rsid w:val="00287D81"/>
    <w:rsid w:val="002900DF"/>
    <w:rsid w:val="00290BF1"/>
    <w:rsid w:val="00293BAE"/>
    <w:rsid w:val="00295491"/>
    <w:rsid w:val="00295E33"/>
    <w:rsid w:val="00297780"/>
    <w:rsid w:val="002A090F"/>
    <w:rsid w:val="002A0CC0"/>
    <w:rsid w:val="002A0E5D"/>
    <w:rsid w:val="002A0F8D"/>
    <w:rsid w:val="002A10CC"/>
    <w:rsid w:val="002A1664"/>
    <w:rsid w:val="002A1C2C"/>
    <w:rsid w:val="002A33FC"/>
    <w:rsid w:val="002A58A1"/>
    <w:rsid w:val="002A6633"/>
    <w:rsid w:val="002A6806"/>
    <w:rsid w:val="002A6A1B"/>
    <w:rsid w:val="002A7BA8"/>
    <w:rsid w:val="002B04D9"/>
    <w:rsid w:val="002B1EA3"/>
    <w:rsid w:val="002B24A6"/>
    <w:rsid w:val="002B2504"/>
    <w:rsid w:val="002B53AF"/>
    <w:rsid w:val="002B5512"/>
    <w:rsid w:val="002B6094"/>
    <w:rsid w:val="002B6B85"/>
    <w:rsid w:val="002C0E85"/>
    <w:rsid w:val="002C1C23"/>
    <w:rsid w:val="002C2020"/>
    <w:rsid w:val="002C2601"/>
    <w:rsid w:val="002C308C"/>
    <w:rsid w:val="002C34E3"/>
    <w:rsid w:val="002C3A91"/>
    <w:rsid w:val="002C4EDB"/>
    <w:rsid w:val="002C53B8"/>
    <w:rsid w:val="002C6FB6"/>
    <w:rsid w:val="002C7360"/>
    <w:rsid w:val="002C7DF4"/>
    <w:rsid w:val="002D14EF"/>
    <w:rsid w:val="002D1662"/>
    <w:rsid w:val="002D2483"/>
    <w:rsid w:val="002D298A"/>
    <w:rsid w:val="002D2DAB"/>
    <w:rsid w:val="002D46F7"/>
    <w:rsid w:val="002D4E0E"/>
    <w:rsid w:val="002D5501"/>
    <w:rsid w:val="002D6045"/>
    <w:rsid w:val="002D74CA"/>
    <w:rsid w:val="002D7724"/>
    <w:rsid w:val="002E0C26"/>
    <w:rsid w:val="002E1208"/>
    <w:rsid w:val="002E2348"/>
    <w:rsid w:val="002E3B62"/>
    <w:rsid w:val="002E48A6"/>
    <w:rsid w:val="002E4C89"/>
    <w:rsid w:val="002E5E0A"/>
    <w:rsid w:val="002E6D7E"/>
    <w:rsid w:val="002F02B0"/>
    <w:rsid w:val="002F0E27"/>
    <w:rsid w:val="002F173F"/>
    <w:rsid w:val="002F2757"/>
    <w:rsid w:val="002F5428"/>
    <w:rsid w:val="002F6F61"/>
    <w:rsid w:val="00303129"/>
    <w:rsid w:val="00303AB2"/>
    <w:rsid w:val="00304474"/>
    <w:rsid w:val="0030540F"/>
    <w:rsid w:val="00305D6C"/>
    <w:rsid w:val="00305EC4"/>
    <w:rsid w:val="0030651C"/>
    <w:rsid w:val="00306B96"/>
    <w:rsid w:val="00311FC4"/>
    <w:rsid w:val="003121D6"/>
    <w:rsid w:val="00312A65"/>
    <w:rsid w:val="00314FC9"/>
    <w:rsid w:val="003164E9"/>
    <w:rsid w:val="00317FD7"/>
    <w:rsid w:val="003202A7"/>
    <w:rsid w:val="003208FE"/>
    <w:rsid w:val="0032216D"/>
    <w:rsid w:val="0032418A"/>
    <w:rsid w:val="00325E3A"/>
    <w:rsid w:val="0032736A"/>
    <w:rsid w:val="00327E7B"/>
    <w:rsid w:val="003306BE"/>
    <w:rsid w:val="0033082C"/>
    <w:rsid w:val="003340ED"/>
    <w:rsid w:val="00334F68"/>
    <w:rsid w:val="00334F86"/>
    <w:rsid w:val="00335537"/>
    <w:rsid w:val="003362EF"/>
    <w:rsid w:val="00336D6E"/>
    <w:rsid w:val="00342463"/>
    <w:rsid w:val="0034380B"/>
    <w:rsid w:val="00344704"/>
    <w:rsid w:val="00346431"/>
    <w:rsid w:val="00350F3F"/>
    <w:rsid w:val="0035312D"/>
    <w:rsid w:val="0035352F"/>
    <w:rsid w:val="00353733"/>
    <w:rsid w:val="00353940"/>
    <w:rsid w:val="003541FF"/>
    <w:rsid w:val="00354876"/>
    <w:rsid w:val="00355095"/>
    <w:rsid w:val="00357860"/>
    <w:rsid w:val="00357BF7"/>
    <w:rsid w:val="00357C6E"/>
    <w:rsid w:val="00357FB1"/>
    <w:rsid w:val="00360FFD"/>
    <w:rsid w:val="0036539D"/>
    <w:rsid w:val="00365729"/>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489"/>
    <w:rsid w:val="00383578"/>
    <w:rsid w:val="00390379"/>
    <w:rsid w:val="003903D1"/>
    <w:rsid w:val="0039388E"/>
    <w:rsid w:val="00394137"/>
    <w:rsid w:val="00394C33"/>
    <w:rsid w:val="00395AFF"/>
    <w:rsid w:val="00395C00"/>
    <w:rsid w:val="00396C44"/>
    <w:rsid w:val="003975ED"/>
    <w:rsid w:val="003A18A5"/>
    <w:rsid w:val="003A1CF2"/>
    <w:rsid w:val="003A21D1"/>
    <w:rsid w:val="003A2B70"/>
    <w:rsid w:val="003A53F0"/>
    <w:rsid w:val="003B0A0C"/>
    <w:rsid w:val="003B1967"/>
    <w:rsid w:val="003B6FD7"/>
    <w:rsid w:val="003B7164"/>
    <w:rsid w:val="003B75D4"/>
    <w:rsid w:val="003C08CA"/>
    <w:rsid w:val="003C0EF1"/>
    <w:rsid w:val="003C1B66"/>
    <w:rsid w:val="003C1BF0"/>
    <w:rsid w:val="003C22B0"/>
    <w:rsid w:val="003C48F4"/>
    <w:rsid w:val="003C5048"/>
    <w:rsid w:val="003C6D56"/>
    <w:rsid w:val="003C7961"/>
    <w:rsid w:val="003C7E14"/>
    <w:rsid w:val="003D1C8F"/>
    <w:rsid w:val="003D3D41"/>
    <w:rsid w:val="003D3F81"/>
    <w:rsid w:val="003D7282"/>
    <w:rsid w:val="003D740C"/>
    <w:rsid w:val="003E0603"/>
    <w:rsid w:val="003E08C8"/>
    <w:rsid w:val="003E2883"/>
    <w:rsid w:val="003E2BA4"/>
    <w:rsid w:val="003E357D"/>
    <w:rsid w:val="003E4762"/>
    <w:rsid w:val="003E5313"/>
    <w:rsid w:val="003E607D"/>
    <w:rsid w:val="003F02BB"/>
    <w:rsid w:val="003F1068"/>
    <w:rsid w:val="003F1980"/>
    <w:rsid w:val="003F30F6"/>
    <w:rsid w:val="003F3609"/>
    <w:rsid w:val="003F3E5E"/>
    <w:rsid w:val="003F44D6"/>
    <w:rsid w:val="003F58CD"/>
    <w:rsid w:val="003F7B3A"/>
    <w:rsid w:val="00405DA7"/>
    <w:rsid w:val="00407122"/>
    <w:rsid w:val="0040783D"/>
    <w:rsid w:val="004078BB"/>
    <w:rsid w:val="00407DEF"/>
    <w:rsid w:val="00407F67"/>
    <w:rsid w:val="0041050B"/>
    <w:rsid w:val="00410D89"/>
    <w:rsid w:val="004145C7"/>
    <w:rsid w:val="004154A2"/>
    <w:rsid w:val="00415B8D"/>
    <w:rsid w:val="004160AE"/>
    <w:rsid w:val="00417184"/>
    <w:rsid w:val="00417285"/>
    <w:rsid w:val="0042246F"/>
    <w:rsid w:val="00422FB4"/>
    <w:rsid w:val="004240F6"/>
    <w:rsid w:val="004242F6"/>
    <w:rsid w:val="00424DA9"/>
    <w:rsid w:val="00425258"/>
    <w:rsid w:val="004253E1"/>
    <w:rsid w:val="00426097"/>
    <w:rsid w:val="00426172"/>
    <w:rsid w:val="004273B3"/>
    <w:rsid w:val="00431DD9"/>
    <w:rsid w:val="0043255B"/>
    <w:rsid w:val="00432588"/>
    <w:rsid w:val="004334F0"/>
    <w:rsid w:val="00434577"/>
    <w:rsid w:val="00434D3F"/>
    <w:rsid w:val="00435091"/>
    <w:rsid w:val="00436684"/>
    <w:rsid w:val="00440AC8"/>
    <w:rsid w:val="00441013"/>
    <w:rsid w:val="004431D0"/>
    <w:rsid w:val="0044450F"/>
    <w:rsid w:val="00444845"/>
    <w:rsid w:val="00444E1F"/>
    <w:rsid w:val="00447CB7"/>
    <w:rsid w:val="004502A6"/>
    <w:rsid w:val="004507EB"/>
    <w:rsid w:val="00451F9A"/>
    <w:rsid w:val="00453F23"/>
    <w:rsid w:val="00455D62"/>
    <w:rsid w:val="00455DC9"/>
    <w:rsid w:val="00456899"/>
    <w:rsid w:val="00456CD8"/>
    <w:rsid w:val="00457169"/>
    <w:rsid w:val="004575F6"/>
    <w:rsid w:val="00460FD7"/>
    <w:rsid w:val="00461695"/>
    <w:rsid w:val="00463F34"/>
    <w:rsid w:val="0046402E"/>
    <w:rsid w:val="0046437E"/>
    <w:rsid w:val="0046445E"/>
    <w:rsid w:val="00464F85"/>
    <w:rsid w:val="004668DE"/>
    <w:rsid w:val="00466B23"/>
    <w:rsid w:val="00466FB2"/>
    <w:rsid w:val="004677F4"/>
    <w:rsid w:val="004701E8"/>
    <w:rsid w:val="004704CE"/>
    <w:rsid w:val="00470A8B"/>
    <w:rsid w:val="00471CAA"/>
    <w:rsid w:val="00472253"/>
    <w:rsid w:val="00473017"/>
    <w:rsid w:val="0047452A"/>
    <w:rsid w:val="00475336"/>
    <w:rsid w:val="0047628F"/>
    <w:rsid w:val="0047772B"/>
    <w:rsid w:val="00480977"/>
    <w:rsid w:val="00481C94"/>
    <w:rsid w:val="00481DB4"/>
    <w:rsid w:val="004842DE"/>
    <w:rsid w:val="004848C5"/>
    <w:rsid w:val="00485721"/>
    <w:rsid w:val="0048610C"/>
    <w:rsid w:val="00491483"/>
    <w:rsid w:val="00491932"/>
    <w:rsid w:val="00491950"/>
    <w:rsid w:val="00493E53"/>
    <w:rsid w:val="004A17C0"/>
    <w:rsid w:val="004A4936"/>
    <w:rsid w:val="004A4DBB"/>
    <w:rsid w:val="004A669F"/>
    <w:rsid w:val="004A7237"/>
    <w:rsid w:val="004B33D9"/>
    <w:rsid w:val="004B3EB6"/>
    <w:rsid w:val="004B44C6"/>
    <w:rsid w:val="004B4F4D"/>
    <w:rsid w:val="004C4103"/>
    <w:rsid w:val="004C5133"/>
    <w:rsid w:val="004C7604"/>
    <w:rsid w:val="004D0CDD"/>
    <w:rsid w:val="004D13D3"/>
    <w:rsid w:val="004D29A5"/>
    <w:rsid w:val="004D41FF"/>
    <w:rsid w:val="004D6397"/>
    <w:rsid w:val="004D68BA"/>
    <w:rsid w:val="004D6951"/>
    <w:rsid w:val="004D7A17"/>
    <w:rsid w:val="004E099B"/>
    <w:rsid w:val="004E1C01"/>
    <w:rsid w:val="004E1FB1"/>
    <w:rsid w:val="004E2C96"/>
    <w:rsid w:val="004E4FEE"/>
    <w:rsid w:val="004E5144"/>
    <w:rsid w:val="004E5D33"/>
    <w:rsid w:val="004E5DF0"/>
    <w:rsid w:val="004E5E88"/>
    <w:rsid w:val="004E5FDF"/>
    <w:rsid w:val="004E7249"/>
    <w:rsid w:val="004E7755"/>
    <w:rsid w:val="004F0178"/>
    <w:rsid w:val="004F1F7B"/>
    <w:rsid w:val="004F29D6"/>
    <w:rsid w:val="004F42C7"/>
    <w:rsid w:val="004F4715"/>
    <w:rsid w:val="004F6A77"/>
    <w:rsid w:val="00500C93"/>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A41"/>
    <w:rsid w:val="00534E69"/>
    <w:rsid w:val="005365BC"/>
    <w:rsid w:val="0054034D"/>
    <w:rsid w:val="00540746"/>
    <w:rsid w:val="005411B7"/>
    <w:rsid w:val="00543501"/>
    <w:rsid w:val="005435EE"/>
    <w:rsid w:val="00544C63"/>
    <w:rsid w:val="00546E49"/>
    <w:rsid w:val="00547E67"/>
    <w:rsid w:val="00550920"/>
    <w:rsid w:val="0055316A"/>
    <w:rsid w:val="005537E8"/>
    <w:rsid w:val="00554308"/>
    <w:rsid w:val="00554FB2"/>
    <w:rsid w:val="005569F0"/>
    <w:rsid w:val="00556F2C"/>
    <w:rsid w:val="00557E86"/>
    <w:rsid w:val="005618BB"/>
    <w:rsid w:val="0056355A"/>
    <w:rsid w:val="00563716"/>
    <w:rsid w:val="005638EF"/>
    <w:rsid w:val="005654ED"/>
    <w:rsid w:val="00565D55"/>
    <w:rsid w:val="00566BC7"/>
    <w:rsid w:val="00567016"/>
    <w:rsid w:val="0057058F"/>
    <w:rsid w:val="005708CF"/>
    <w:rsid w:val="005712AB"/>
    <w:rsid w:val="00573CEC"/>
    <w:rsid w:val="00573FBF"/>
    <w:rsid w:val="00574373"/>
    <w:rsid w:val="005748BD"/>
    <w:rsid w:val="00575B68"/>
    <w:rsid w:val="00575E04"/>
    <w:rsid w:val="005762DB"/>
    <w:rsid w:val="005770A7"/>
    <w:rsid w:val="00577D17"/>
    <w:rsid w:val="00580D09"/>
    <w:rsid w:val="00580D3C"/>
    <w:rsid w:val="00583B6D"/>
    <w:rsid w:val="00590A83"/>
    <w:rsid w:val="0059223B"/>
    <w:rsid w:val="005926A0"/>
    <w:rsid w:val="005A31F9"/>
    <w:rsid w:val="005A53B4"/>
    <w:rsid w:val="005A5737"/>
    <w:rsid w:val="005A7EB5"/>
    <w:rsid w:val="005B0990"/>
    <w:rsid w:val="005B32A1"/>
    <w:rsid w:val="005B3763"/>
    <w:rsid w:val="005B3C7C"/>
    <w:rsid w:val="005B3EB2"/>
    <w:rsid w:val="005B3EBA"/>
    <w:rsid w:val="005B416D"/>
    <w:rsid w:val="005B451F"/>
    <w:rsid w:val="005C0228"/>
    <w:rsid w:val="005C1BB5"/>
    <w:rsid w:val="005C1D44"/>
    <w:rsid w:val="005C2EFD"/>
    <w:rsid w:val="005C4C76"/>
    <w:rsid w:val="005C64CB"/>
    <w:rsid w:val="005C78BA"/>
    <w:rsid w:val="005D0765"/>
    <w:rsid w:val="005D0E9B"/>
    <w:rsid w:val="005D1C79"/>
    <w:rsid w:val="005D1D71"/>
    <w:rsid w:val="005D1E5C"/>
    <w:rsid w:val="005D21AF"/>
    <w:rsid w:val="005D3333"/>
    <w:rsid w:val="005D35F3"/>
    <w:rsid w:val="005D4BDD"/>
    <w:rsid w:val="005D4E42"/>
    <w:rsid w:val="005D557A"/>
    <w:rsid w:val="005D688B"/>
    <w:rsid w:val="005D73AB"/>
    <w:rsid w:val="005D7B95"/>
    <w:rsid w:val="005D7FC6"/>
    <w:rsid w:val="005E00B5"/>
    <w:rsid w:val="005E0971"/>
    <w:rsid w:val="005E0D73"/>
    <w:rsid w:val="005E153F"/>
    <w:rsid w:val="005E20B7"/>
    <w:rsid w:val="005E615D"/>
    <w:rsid w:val="005E63F0"/>
    <w:rsid w:val="005E6D2B"/>
    <w:rsid w:val="005E7874"/>
    <w:rsid w:val="005E78B4"/>
    <w:rsid w:val="005E7933"/>
    <w:rsid w:val="005F1B47"/>
    <w:rsid w:val="005F336E"/>
    <w:rsid w:val="005F3A3C"/>
    <w:rsid w:val="005F3AC9"/>
    <w:rsid w:val="005F4446"/>
    <w:rsid w:val="005F6D10"/>
    <w:rsid w:val="005F7750"/>
    <w:rsid w:val="00602274"/>
    <w:rsid w:val="00602726"/>
    <w:rsid w:val="00602FB5"/>
    <w:rsid w:val="00603F09"/>
    <w:rsid w:val="00605D83"/>
    <w:rsid w:val="00605ECF"/>
    <w:rsid w:val="00605F55"/>
    <w:rsid w:val="006060E3"/>
    <w:rsid w:val="00606AA5"/>
    <w:rsid w:val="00606ABC"/>
    <w:rsid w:val="00606F69"/>
    <w:rsid w:val="006070FB"/>
    <w:rsid w:val="00607472"/>
    <w:rsid w:val="006075B2"/>
    <w:rsid w:val="00607A94"/>
    <w:rsid w:val="00607B4D"/>
    <w:rsid w:val="00610B73"/>
    <w:rsid w:val="0061271F"/>
    <w:rsid w:val="00612D2D"/>
    <w:rsid w:val="00613AB2"/>
    <w:rsid w:val="006140A0"/>
    <w:rsid w:val="00616293"/>
    <w:rsid w:val="00616332"/>
    <w:rsid w:val="00617709"/>
    <w:rsid w:val="00622B95"/>
    <w:rsid w:val="0062309A"/>
    <w:rsid w:val="00623308"/>
    <w:rsid w:val="00623A0B"/>
    <w:rsid w:val="006249A5"/>
    <w:rsid w:val="0062526D"/>
    <w:rsid w:val="00630A12"/>
    <w:rsid w:val="00634E7A"/>
    <w:rsid w:val="006352A6"/>
    <w:rsid w:val="00635B69"/>
    <w:rsid w:val="00636EB9"/>
    <w:rsid w:val="00637D87"/>
    <w:rsid w:val="00640176"/>
    <w:rsid w:val="00641256"/>
    <w:rsid w:val="00641992"/>
    <w:rsid w:val="006439F4"/>
    <w:rsid w:val="0064577D"/>
    <w:rsid w:val="00646360"/>
    <w:rsid w:val="00646EF4"/>
    <w:rsid w:val="00646F46"/>
    <w:rsid w:val="006507CD"/>
    <w:rsid w:val="00651146"/>
    <w:rsid w:val="00652918"/>
    <w:rsid w:val="00652A97"/>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23A"/>
    <w:rsid w:val="006816EC"/>
    <w:rsid w:val="00682532"/>
    <w:rsid w:val="00682E4A"/>
    <w:rsid w:val="006846BD"/>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089B"/>
    <w:rsid w:val="006A1C20"/>
    <w:rsid w:val="006A2485"/>
    <w:rsid w:val="006A4784"/>
    <w:rsid w:val="006A6567"/>
    <w:rsid w:val="006A72AC"/>
    <w:rsid w:val="006A7903"/>
    <w:rsid w:val="006B03D9"/>
    <w:rsid w:val="006B08C6"/>
    <w:rsid w:val="006B18ED"/>
    <w:rsid w:val="006B2E61"/>
    <w:rsid w:val="006B43F3"/>
    <w:rsid w:val="006B4DA8"/>
    <w:rsid w:val="006B7E20"/>
    <w:rsid w:val="006C0F07"/>
    <w:rsid w:val="006C2365"/>
    <w:rsid w:val="006C2E6C"/>
    <w:rsid w:val="006C2FF0"/>
    <w:rsid w:val="006C3A17"/>
    <w:rsid w:val="006C47F5"/>
    <w:rsid w:val="006C4E80"/>
    <w:rsid w:val="006C5D67"/>
    <w:rsid w:val="006C6014"/>
    <w:rsid w:val="006C6FED"/>
    <w:rsid w:val="006C7481"/>
    <w:rsid w:val="006C7658"/>
    <w:rsid w:val="006D03EF"/>
    <w:rsid w:val="006D060C"/>
    <w:rsid w:val="006D189B"/>
    <w:rsid w:val="006D261F"/>
    <w:rsid w:val="006D2B2E"/>
    <w:rsid w:val="006D672A"/>
    <w:rsid w:val="006D7D98"/>
    <w:rsid w:val="006E0CC5"/>
    <w:rsid w:val="006E39E2"/>
    <w:rsid w:val="006E4573"/>
    <w:rsid w:val="006E4EC0"/>
    <w:rsid w:val="006E5365"/>
    <w:rsid w:val="006E58A1"/>
    <w:rsid w:val="006E607C"/>
    <w:rsid w:val="006F1D7E"/>
    <w:rsid w:val="006F269F"/>
    <w:rsid w:val="006F3BA8"/>
    <w:rsid w:val="006F529D"/>
    <w:rsid w:val="006F5558"/>
    <w:rsid w:val="006F5EEA"/>
    <w:rsid w:val="006F6833"/>
    <w:rsid w:val="00701140"/>
    <w:rsid w:val="00701334"/>
    <w:rsid w:val="00702617"/>
    <w:rsid w:val="00702956"/>
    <w:rsid w:val="007043DB"/>
    <w:rsid w:val="007059AE"/>
    <w:rsid w:val="0070639D"/>
    <w:rsid w:val="0070653A"/>
    <w:rsid w:val="00706C61"/>
    <w:rsid w:val="00707363"/>
    <w:rsid w:val="00707445"/>
    <w:rsid w:val="00707607"/>
    <w:rsid w:val="007079A4"/>
    <w:rsid w:val="007101FA"/>
    <w:rsid w:val="007111A1"/>
    <w:rsid w:val="00711332"/>
    <w:rsid w:val="00711361"/>
    <w:rsid w:val="00711946"/>
    <w:rsid w:val="00712686"/>
    <w:rsid w:val="00712A9A"/>
    <w:rsid w:val="00712C67"/>
    <w:rsid w:val="00714D5F"/>
    <w:rsid w:val="00715AF0"/>
    <w:rsid w:val="0071678A"/>
    <w:rsid w:val="00716F44"/>
    <w:rsid w:val="00717BAD"/>
    <w:rsid w:val="00717C4F"/>
    <w:rsid w:val="007202AB"/>
    <w:rsid w:val="0072052B"/>
    <w:rsid w:val="00722630"/>
    <w:rsid w:val="00723BCB"/>
    <w:rsid w:val="007245F3"/>
    <w:rsid w:val="00724707"/>
    <w:rsid w:val="00726940"/>
    <w:rsid w:val="00727ECC"/>
    <w:rsid w:val="00727FE5"/>
    <w:rsid w:val="00730C32"/>
    <w:rsid w:val="00730D01"/>
    <w:rsid w:val="007318F5"/>
    <w:rsid w:val="00731B7C"/>
    <w:rsid w:val="00731CBE"/>
    <w:rsid w:val="0073223D"/>
    <w:rsid w:val="00734EA1"/>
    <w:rsid w:val="00734FAE"/>
    <w:rsid w:val="00735966"/>
    <w:rsid w:val="00735B40"/>
    <w:rsid w:val="00735C0E"/>
    <w:rsid w:val="00735CFF"/>
    <w:rsid w:val="00735FB7"/>
    <w:rsid w:val="00737023"/>
    <w:rsid w:val="007370B4"/>
    <w:rsid w:val="0073784F"/>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9A7"/>
    <w:rsid w:val="00756C39"/>
    <w:rsid w:val="00757F5E"/>
    <w:rsid w:val="00761181"/>
    <w:rsid w:val="007623E5"/>
    <w:rsid w:val="00762819"/>
    <w:rsid w:val="00762FEF"/>
    <w:rsid w:val="007644D9"/>
    <w:rsid w:val="0076510B"/>
    <w:rsid w:val="00766517"/>
    <w:rsid w:val="00766EA7"/>
    <w:rsid w:val="00770C1A"/>
    <w:rsid w:val="0077199C"/>
    <w:rsid w:val="007735A5"/>
    <w:rsid w:val="0077362B"/>
    <w:rsid w:val="00775290"/>
    <w:rsid w:val="00776544"/>
    <w:rsid w:val="00776E78"/>
    <w:rsid w:val="007772F4"/>
    <w:rsid w:val="007778C3"/>
    <w:rsid w:val="00780A2B"/>
    <w:rsid w:val="007829DF"/>
    <w:rsid w:val="00782A69"/>
    <w:rsid w:val="00783468"/>
    <w:rsid w:val="007842F4"/>
    <w:rsid w:val="00785536"/>
    <w:rsid w:val="00790156"/>
    <w:rsid w:val="00791F1E"/>
    <w:rsid w:val="007929E2"/>
    <w:rsid w:val="00793CA3"/>
    <w:rsid w:val="00794167"/>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773"/>
    <w:rsid w:val="007C552C"/>
    <w:rsid w:val="007C59FE"/>
    <w:rsid w:val="007C5CB0"/>
    <w:rsid w:val="007C617C"/>
    <w:rsid w:val="007D177C"/>
    <w:rsid w:val="007D2928"/>
    <w:rsid w:val="007D37FC"/>
    <w:rsid w:val="007D3A96"/>
    <w:rsid w:val="007D4CFA"/>
    <w:rsid w:val="007D4FA9"/>
    <w:rsid w:val="007D550C"/>
    <w:rsid w:val="007D6E46"/>
    <w:rsid w:val="007D7651"/>
    <w:rsid w:val="007D7B42"/>
    <w:rsid w:val="007E02DF"/>
    <w:rsid w:val="007E0302"/>
    <w:rsid w:val="007E0914"/>
    <w:rsid w:val="007E1309"/>
    <w:rsid w:val="007E135F"/>
    <w:rsid w:val="007E18E8"/>
    <w:rsid w:val="007E1C6D"/>
    <w:rsid w:val="007E2F5A"/>
    <w:rsid w:val="007E3F95"/>
    <w:rsid w:val="007E45AB"/>
    <w:rsid w:val="007E4728"/>
    <w:rsid w:val="007E4D9B"/>
    <w:rsid w:val="007E5286"/>
    <w:rsid w:val="007E77DD"/>
    <w:rsid w:val="007F0122"/>
    <w:rsid w:val="007F01E6"/>
    <w:rsid w:val="007F03A7"/>
    <w:rsid w:val="007F058E"/>
    <w:rsid w:val="007F13B7"/>
    <w:rsid w:val="007F2441"/>
    <w:rsid w:val="007F29F2"/>
    <w:rsid w:val="007F2FFD"/>
    <w:rsid w:val="007F391B"/>
    <w:rsid w:val="007F4407"/>
    <w:rsid w:val="007F48A9"/>
    <w:rsid w:val="007F57BB"/>
    <w:rsid w:val="00801CBC"/>
    <w:rsid w:val="008021E4"/>
    <w:rsid w:val="00803781"/>
    <w:rsid w:val="00805C6E"/>
    <w:rsid w:val="008065B7"/>
    <w:rsid w:val="00806D01"/>
    <w:rsid w:val="00807277"/>
    <w:rsid w:val="00810A13"/>
    <w:rsid w:val="00810C6B"/>
    <w:rsid w:val="00810C80"/>
    <w:rsid w:val="00811D1B"/>
    <w:rsid w:val="0081206A"/>
    <w:rsid w:val="0081218F"/>
    <w:rsid w:val="00813EBE"/>
    <w:rsid w:val="00814E56"/>
    <w:rsid w:val="00815149"/>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11C2"/>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0DF"/>
    <w:rsid w:val="00862805"/>
    <w:rsid w:val="00863A28"/>
    <w:rsid w:val="00864155"/>
    <w:rsid w:val="00864631"/>
    <w:rsid w:val="0086488F"/>
    <w:rsid w:val="008657AB"/>
    <w:rsid w:val="0087275F"/>
    <w:rsid w:val="00872868"/>
    <w:rsid w:val="00874305"/>
    <w:rsid w:val="00874CD4"/>
    <w:rsid w:val="008770DC"/>
    <w:rsid w:val="008777E1"/>
    <w:rsid w:val="00880DAB"/>
    <w:rsid w:val="00882DA6"/>
    <w:rsid w:val="0088488E"/>
    <w:rsid w:val="00884F15"/>
    <w:rsid w:val="008850C9"/>
    <w:rsid w:val="00887DEF"/>
    <w:rsid w:val="00890467"/>
    <w:rsid w:val="00890DAB"/>
    <w:rsid w:val="008927EB"/>
    <w:rsid w:val="00895682"/>
    <w:rsid w:val="0089582C"/>
    <w:rsid w:val="00896975"/>
    <w:rsid w:val="00896BB4"/>
    <w:rsid w:val="008A08FC"/>
    <w:rsid w:val="008A10CF"/>
    <w:rsid w:val="008A16C7"/>
    <w:rsid w:val="008A189F"/>
    <w:rsid w:val="008A2710"/>
    <w:rsid w:val="008A31E8"/>
    <w:rsid w:val="008A4B56"/>
    <w:rsid w:val="008A502A"/>
    <w:rsid w:val="008A509D"/>
    <w:rsid w:val="008A6934"/>
    <w:rsid w:val="008A7B2F"/>
    <w:rsid w:val="008B1C3B"/>
    <w:rsid w:val="008B569E"/>
    <w:rsid w:val="008B755E"/>
    <w:rsid w:val="008B7E0F"/>
    <w:rsid w:val="008C0449"/>
    <w:rsid w:val="008C0E40"/>
    <w:rsid w:val="008C1349"/>
    <w:rsid w:val="008C245B"/>
    <w:rsid w:val="008C53F4"/>
    <w:rsid w:val="008C5F72"/>
    <w:rsid w:val="008C635A"/>
    <w:rsid w:val="008C63E5"/>
    <w:rsid w:val="008D07C3"/>
    <w:rsid w:val="008D236F"/>
    <w:rsid w:val="008D27ED"/>
    <w:rsid w:val="008D2E56"/>
    <w:rsid w:val="008D3327"/>
    <w:rsid w:val="008D57D8"/>
    <w:rsid w:val="008E1426"/>
    <w:rsid w:val="008E1D06"/>
    <w:rsid w:val="008E1DC3"/>
    <w:rsid w:val="008E2626"/>
    <w:rsid w:val="008E4791"/>
    <w:rsid w:val="008E50A9"/>
    <w:rsid w:val="008E5219"/>
    <w:rsid w:val="008E75F8"/>
    <w:rsid w:val="008F3AF2"/>
    <w:rsid w:val="008F3BD5"/>
    <w:rsid w:val="008F47C8"/>
    <w:rsid w:val="008F62A3"/>
    <w:rsid w:val="008F6825"/>
    <w:rsid w:val="008F7404"/>
    <w:rsid w:val="008F740B"/>
    <w:rsid w:val="009006FF"/>
    <w:rsid w:val="00902EE8"/>
    <w:rsid w:val="00905918"/>
    <w:rsid w:val="0090592C"/>
    <w:rsid w:val="00905BF7"/>
    <w:rsid w:val="009100B2"/>
    <w:rsid w:val="009131C1"/>
    <w:rsid w:val="00913377"/>
    <w:rsid w:val="00913F7A"/>
    <w:rsid w:val="00915AC1"/>
    <w:rsid w:val="009162DE"/>
    <w:rsid w:val="00917165"/>
    <w:rsid w:val="00921F3F"/>
    <w:rsid w:val="00923D1B"/>
    <w:rsid w:val="00923EC6"/>
    <w:rsid w:val="009245A6"/>
    <w:rsid w:val="00925ED8"/>
    <w:rsid w:val="00930511"/>
    <w:rsid w:val="00931BD7"/>
    <w:rsid w:val="0093267B"/>
    <w:rsid w:val="00932B21"/>
    <w:rsid w:val="00933499"/>
    <w:rsid w:val="0093529B"/>
    <w:rsid w:val="00935557"/>
    <w:rsid w:val="00936645"/>
    <w:rsid w:val="0093791A"/>
    <w:rsid w:val="0094389B"/>
    <w:rsid w:val="0094459B"/>
    <w:rsid w:val="0094661A"/>
    <w:rsid w:val="009475E5"/>
    <w:rsid w:val="00947EBA"/>
    <w:rsid w:val="00952570"/>
    <w:rsid w:val="009546F8"/>
    <w:rsid w:val="00955B42"/>
    <w:rsid w:val="00957CBB"/>
    <w:rsid w:val="00957DBB"/>
    <w:rsid w:val="00960A72"/>
    <w:rsid w:val="0096241D"/>
    <w:rsid w:val="009626B1"/>
    <w:rsid w:val="009637FB"/>
    <w:rsid w:val="0096587C"/>
    <w:rsid w:val="00966222"/>
    <w:rsid w:val="0096763F"/>
    <w:rsid w:val="00971390"/>
    <w:rsid w:val="009718B3"/>
    <w:rsid w:val="0097233D"/>
    <w:rsid w:val="009725BB"/>
    <w:rsid w:val="009732F5"/>
    <w:rsid w:val="009742C8"/>
    <w:rsid w:val="009751BC"/>
    <w:rsid w:val="00975576"/>
    <w:rsid w:val="00976AA2"/>
    <w:rsid w:val="009778EC"/>
    <w:rsid w:val="00980AF1"/>
    <w:rsid w:val="00980C90"/>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C230B"/>
    <w:rsid w:val="009C26A2"/>
    <w:rsid w:val="009C2DA5"/>
    <w:rsid w:val="009C44E8"/>
    <w:rsid w:val="009C511D"/>
    <w:rsid w:val="009C5BD6"/>
    <w:rsid w:val="009C6324"/>
    <w:rsid w:val="009D067B"/>
    <w:rsid w:val="009D2B5D"/>
    <w:rsid w:val="009D37FD"/>
    <w:rsid w:val="009D3D50"/>
    <w:rsid w:val="009E18AF"/>
    <w:rsid w:val="009E52F9"/>
    <w:rsid w:val="009E5C35"/>
    <w:rsid w:val="009E6D27"/>
    <w:rsid w:val="009E778D"/>
    <w:rsid w:val="009E7E45"/>
    <w:rsid w:val="009F035B"/>
    <w:rsid w:val="009F1DF1"/>
    <w:rsid w:val="009F20BC"/>
    <w:rsid w:val="009F789A"/>
    <w:rsid w:val="00A0038E"/>
    <w:rsid w:val="00A014D3"/>
    <w:rsid w:val="00A01845"/>
    <w:rsid w:val="00A01C30"/>
    <w:rsid w:val="00A038D6"/>
    <w:rsid w:val="00A05CD3"/>
    <w:rsid w:val="00A07408"/>
    <w:rsid w:val="00A07432"/>
    <w:rsid w:val="00A1036B"/>
    <w:rsid w:val="00A12936"/>
    <w:rsid w:val="00A144D6"/>
    <w:rsid w:val="00A155E7"/>
    <w:rsid w:val="00A15645"/>
    <w:rsid w:val="00A160B3"/>
    <w:rsid w:val="00A172C7"/>
    <w:rsid w:val="00A2070F"/>
    <w:rsid w:val="00A21259"/>
    <w:rsid w:val="00A21FFF"/>
    <w:rsid w:val="00A232BE"/>
    <w:rsid w:val="00A233AB"/>
    <w:rsid w:val="00A23C93"/>
    <w:rsid w:val="00A24350"/>
    <w:rsid w:val="00A24AE0"/>
    <w:rsid w:val="00A27335"/>
    <w:rsid w:val="00A30329"/>
    <w:rsid w:val="00A30356"/>
    <w:rsid w:val="00A32C0E"/>
    <w:rsid w:val="00A36793"/>
    <w:rsid w:val="00A37D19"/>
    <w:rsid w:val="00A40991"/>
    <w:rsid w:val="00A40BC9"/>
    <w:rsid w:val="00A41BFA"/>
    <w:rsid w:val="00A42936"/>
    <w:rsid w:val="00A43FE9"/>
    <w:rsid w:val="00A454AB"/>
    <w:rsid w:val="00A45ACC"/>
    <w:rsid w:val="00A45FFF"/>
    <w:rsid w:val="00A473AE"/>
    <w:rsid w:val="00A50E93"/>
    <w:rsid w:val="00A50F05"/>
    <w:rsid w:val="00A55010"/>
    <w:rsid w:val="00A61C23"/>
    <w:rsid w:val="00A620D9"/>
    <w:rsid w:val="00A62F1B"/>
    <w:rsid w:val="00A640A5"/>
    <w:rsid w:val="00A644DD"/>
    <w:rsid w:val="00A64E00"/>
    <w:rsid w:val="00A6591D"/>
    <w:rsid w:val="00A71230"/>
    <w:rsid w:val="00A71DAA"/>
    <w:rsid w:val="00A72BB2"/>
    <w:rsid w:val="00A74694"/>
    <w:rsid w:val="00A74C70"/>
    <w:rsid w:val="00A75280"/>
    <w:rsid w:val="00A75551"/>
    <w:rsid w:val="00A766E2"/>
    <w:rsid w:val="00A8135D"/>
    <w:rsid w:val="00A8140E"/>
    <w:rsid w:val="00A81B1C"/>
    <w:rsid w:val="00A82E05"/>
    <w:rsid w:val="00A834AC"/>
    <w:rsid w:val="00A83754"/>
    <w:rsid w:val="00A8510A"/>
    <w:rsid w:val="00A86230"/>
    <w:rsid w:val="00A86354"/>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8FD"/>
    <w:rsid w:val="00AD2D12"/>
    <w:rsid w:val="00AD314E"/>
    <w:rsid w:val="00AD3976"/>
    <w:rsid w:val="00AD40E6"/>
    <w:rsid w:val="00AD4BAD"/>
    <w:rsid w:val="00AD5633"/>
    <w:rsid w:val="00AD56A4"/>
    <w:rsid w:val="00AD57C5"/>
    <w:rsid w:val="00AD5E09"/>
    <w:rsid w:val="00AD76F9"/>
    <w:rsid w:val="00AD7B2A"/>
    <w:rsid w:val="00AE08BA"/>
    <w:rsid w:val="00AE0B04"/>
    <w:rsid w:val="00AE1131"/>
    <w:rsid w:val="00AE1FC3"/>
    <w:rsid w:val="00AE30A9"/>
    <w:rsid w:val="00AE3A80"/>
    <w:rsid w:val="00AE439A"/>
    <w:rsid w:val="00AE4A1A"/>
    <w:rsid w:val="00AE69F4"/>
    <w:rsid w:val="00AF1AD5"/>
    <w:rsid w:val="00AF3E95"/>
    <w:rsid w:val="00AF4B73"/>
    <w:rsid w:val="00AF572C"/>
    <w:rsid w:val="00AF580B"/>
    <w:rsid w:val="00AF683C"/>
    <w:rsid w:val="00AF76F8"/>
    <w:rsid w:val="00B0007F"/>
    <w:rsid w:val="00B010B5"/>
    <w:rsid w:val="00B01ABD"/>
    <w:rsid w:val="00B01D47"/>
    <w:rsid w:val="00B02B91"/>
    <w:rsid w:val="00B03013"/>
    <w:rsid w:val="00B0472B"/>
    <w:rsid w:val="00B06B2C"/>
    <w:rsid w:val="00B0777C"/>
    <w:rsid w:val="00B07B7B"/>
    <w:rsid w:val="00B156CE"/>
    <w:rsid w:val="00B15D97"/>
    <w:rsid w:val="00B16C10"/>
    <w:rsid w:val="00B179EE"/>
    <w:rsid w:val="00B20032"/>
    <w:rsid w:val="00B254DD"/>
    <w:rsid w:val="00B25C10"/>
    <w:rsid w:val="00B30BF1"/>
    <w:rsid w:val="00B30F94"/>
    <w:rsid w:val="00B31060"/>
    <w:rsid w:val="00B31359"/>
    <w:rsid w:val="00B336E1"/>
    <w:rsid w:val="00B3437E"/>
    <w:rsid w:val="00B35C9C"/>
    <w:rsid w:val="00B366E8"/>
    <w:rsid w:val="00B36BA4"/>
    <w:rsid w:val="00B40EBE"/>
    <w:rsid w:val="00B41B58"/>
    <w:rsid w:val="00B42EDE"/>
    <w:rsid w:val="00B44241"/>
    <w:rsid w:val="00B44DD9"/>
    <w:rsid w:val="00B45AB0"/>
    <w:rsid w:val="00B45D4C"/>
    <w:rsid w:val="00B46AEB"/>
    <w:rsid w:val="00B46C72"/>
    <w:rsid w:val="00B47C1A"/>
    <w:rsid w:val="00B51479"/>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BD7"/>
    <w:rsid w:val="00B86DA8"/>
    <w:rsid w:val="00B870A3"/>
    <w:rsid w:val="00B874F4"/>
    <w:rsid w:val="00B87787"/>
    <w:rsid w:val="00B95AEA"/>
    <w:rsid w:val="00BA07A3"/>
    <w:rsid w:val="00BA1024"/>
    <w:rsid w:val="00BA1912"/>
    <w:rsid w:val="00BA1CB1"/>
    <w:rsid w:val="00BA23F7"/>
    <w:rsid w:val="00BA5BE2"/>
    <w:rsid w:val="00BA5D3D"/>
    <w:rsid w:val="00BA7A43"/>
    <w:rsid w:val="00BA7CA4"/>
    <w:rsid w:val="00BB01B2"/>
    <w:rsid w:val="00BB01B8"/>
    <w:rsid w:val="00BB0E21"/>
    <w:rsid w:val="00BB1265"/>
    <w:rsid w:val="00BB1647"/>
    <w:rsid w:val="00BB1EF0"/>
    <w:rsid w:val="00BB22D9"/>
    <w:rsid w:val="00BB2A28"/>
    <w:rsid w:val="00BB2F31"/>
    <w:rsid w:val="00BB38F9"/>
    <w:rsid w:val="00BB4927"/>
    <w:rsid w:val="00BB4BBE"/>
    <w:rsid w:val="00BB52D3"/>
    <w:rsid w:val="00BB6690"/>
    <w:rsid w:val="00BC116A"/>
    <w:rsid w:val="00BC1950"/>
    <w:rsid w:val="00BC2610"/>
    <w:rsid w:val="00BC2EB3"/>
    <w:rsid w:val="00BC4332"/>
    <w:rsid w:val="00BC6CA0"/>
    <w:rsid w:val="00BC6D2D"/>
    <w:rsid w:val="00BC7DE0"/>
    <w:rsid w:val="00BD1D07"/>
    <w:rsid w:val="00BD1E25"/>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44"/>
    <w:rsid w:val="00BF7AE8"/>
    <w:rsid w:val="00C00364"/>
    <w:rsid w:val="00C02412"/>
    <w:rsid w:val="00C02540"/>
    <w:rsid w:val="00C02C07"/>
    <w:rsid w:val="00C03557"/>
    <w:rsid w:val="00C04C95"/>
    <w:rsid w:val="00C05681"/>
    <w:rsid w:val="00C0640D"/>
    <w:rsid w:val="00C07651"/>
    <w:rsid w:val="00C076F3"/>
    <w:rsid w:val="00C07B18"/>
    <w:rsid w:val="00C104F2"/>
    <w:rsid w:val="00C11877"/>
    <w:rsid w:val="00C11ECC"/>
    <w:rsid w:val="00C120D1"/>
    <w:rsid w:val="00C127CC"/>
    <w:rsid w:val="00C146D0"/>
    <w:rsid w:val="00C14CF0"/>
    <w:rsid w:val="00C14F61"/>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7E9D"/>
    <w:rsid w:val="00C40AF3"/>
    <w:rsid w:val="00C41C17"/>
    <w:rsid w:val="00C42ED3"/>
    <w:rsid w:val="00C42EFE"/>
    <w:rsid w:val="00C436A5"/>
    <w:rsid w:val="00C438C0"/>
    <w:rsid w:val="00C45B53"/>
    <w:rsid w:val="00C50472"/>
    <w:rsid w:val="00C51397"/>
    <w:rsid w:val="00C51637"/>
    <w:rsid w:val="00C51BE0"/>
    <w:rsid w:val="00C51EFD"/>
    <w:rsid w:val="00C528F5"/>
    <w:rsid w:val="00C55694"/>
    <w:rsid w:val="00C55A6C"/>
    <w:rsid w:val="00C56C68"/>
    <w:rsid w:val="00C578D1"/>
    <w:rsid w:val="00C57B96"/>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4DBD"/>
    <w:rsid w:val="00C87538"/>
    <w:rsid w:val="00C87D46"/>
    <w:rsid w:val="00C90902"/>
    <w:rsid w:val="00C90BB4"/>
    <w:rsid w:val="00C912BE"/>
    <w:rsid w:val="00C91419"/>
    <w:rsid w:val="00C916F4"/>
    <w:rsid w:val="00C937E6"/>
    <w:rsid w:val="00C937F1"/>
    <w:rsid w:val="00C9510D"/>
    <w:rsid w:val="00CA3413"/>
    <w:rsid w:val="00CA3B05"/>
    <w:rsid w:val="00CA5711"/>
    <w:rsid w:val="00CA7469"/>
    <w:rsid w:val="00CA7C4B"/>
    <w:rsid w:val="00CB00E9"/>
    <w:rsid w:val="00CB2814"/>
    <w:rsid w:val="00CB547E"/>
    <w:rsid w:val="00CB55EB"/>
    <w:rsid w:val="00CB57DA"/>
    <w:rsid w:val="00CB71C3"/>
    <w:rsid w:val="00CB7EDB"/>
    <w:rsid w:val="00CC01FD"/>
    <w:rsid w:val="00CC17B1"/>
    <w:rsid w:val="00CC2082"/>
    <w:rsid w:val="00CC4946"/>
    <w:rsid w:val="00CC5747"/>
    <w:rsid w:val="00CC6B70"/>
    <w:rsid w:val="00CD2ADC"/>
    <w:rsid w:val="00CD2B21"/>
    <w:rsid w:val="00CD2B63"/>
    <w:rsid w:val="00CD517B"/>
    <w:rsid w:val="00CE39BB"/>
    <w:rsid w:val="00CE3AC9"/>
    <w:rsid w:val="00CE4E05"/>
    <w:rsid w:val="00CE4F24"/>
    <w:rsid w:val="00CE61F2"/>
    <w:rsid w:val="00CE64E0"/>
    <w:rsid w:val="00CF08CA"/>
    <w:rsid w:val="00CF0C6F"/>
    <w:rsid w:val="00CF0F7F"/>
    <w:rsid w:val="00CF0FC6"/>
    <w:rsid w:val="00CF2DD3"/>
    <w:rsid w:val="00CF6126"/>
    <w:rsid w:val="00CF66D7"/>
    <w:rsid w:val="00CF6740"/>
    <w:rsid w:val="00CF6B67"/>
    <w:rsid w:val="00CF7F08"/>
    <w:rsid w:val="00D00383"/>
    <w:rsid w:val="00D019DA"/>
    <w:rsid w:val="00D02674"/>
    <w:rsid w:val="00D02A74"/>
    <w:rsid w:val="00D02C5C"/>
    <w:rsid w:val="00D03C3C"/>
    <w:rsid w:val="00D05159"/>
    <w:rsid w:val="00D05FA5"/>
    <w:rsid w:val="00D062CF"/>
    <w:rsid w:val="00D063F2"/>
    <w:rsid w:val="00D06C71"/>
    <w:rsid w:val="00D07C76"/>
    <w:rsid w:val="00D07E00"/>
    <w:rsid w:val="00D103CD"/>
    <w:rsid w:val="00D116F1"/>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2DFB"/>
    <w:rsid w:val="00D344E7"/>
    <w:rsid w:val="00D34E0B"/>
    <w:rsid w:val="00D359C2"/>
    <w:rsid w:val="00D35C6B"/>
    <w:rsid w:val="00D3608B"/>
    <w:rsid w:val="00D37019"/>
    <w:rsid w:val="00D37E46"/>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7003C"/>
    <w:rsid w:val="00D706F8"/>
    <w:rsid w:val="00D711C4"/>
    <w:rsid w:val="00D71288"/>
    <w:rsid w:val="00D7152F"/>
    <w:rsid w:val="00D74632"/>
    <w:rsid w:val="00D7463C"/>
    <w:rsid w:val="00D74732"/>
    <w:rsid w:val="00D75285"/>
    <w:rsid w:val="00D75555"/>
    <w:rsid w:val="00D76966"/>
    <w:rsid w:val="00D76A67"/>
    <w:rsid w:val="00D778FE"/>
    <w:rsid w:val="00D8113A"/>
    <w:rsid w:val="00D81380"/>
    <w:rsid w:val="00D8375B"/>
    <w:rsid w:val="00D844E3"/>
    <w:rsid w:val="00D8517B"/>
    <w:rsid w:val="00D8706F"/>
    <w:rsid w:val="00D9272C"/>
    <w:rsid w:val="00D92812"/>
    <w:rsid w:val="00D92977"/>
    <w:rsid w:val="00D92D45"/>
    <w:rsid w:val="00D93160"/>
    <w:rsid w:val="00D9369E"/>
    <w:rsid w:val="00D936B9"/>
    <w:rsid w:val="00D96D56"/>
    <w:rsid w:val="00D97047"/>
    <w:rsid w:val="00DA04C7"/>
    <w:rsid w:val="00DA1939"/>
    <w:rsid w:val="00DA250B"/>
    <w:rsid w:val="00DA319F"/>
    <w:rsid w:val="00DA3AB4"/>
    <w:rsid w:val="00DA40E2"/>
    <w:rsid w:val="00DA4BC0"/>
    <w:rsid w:val="00DA57FB"/>
    <w:rsid w:val="00DA7BC2"/>
    <w:rsid w:val="00DB03FA"/>
    <w:rsid w:val="00DB1E80"/>
    <w:rsid w:val="00DB21A5"/>
    <w:rsid w:val="00DB343C"/>
    <w:rsid w:val="00DB374A"/>
    <w:rsid w:val="00DB3BCF"/>
    <w:rsid w:val="00DB4777"/>
    <w:rsid w:val="00DB66E3"/>
    <w:rsid w:val="00DC1616"/>
    <w:rsid w:val="00DC29BA"/>
    <w:rsid w:val="00DC34E9"/>
    <w:rsid w:val="00DC78D7"/>
    <w:rsid w:val="00DD049D"/>
    <w:rsid w:val="00DD0B3C"/>
    <w:rsid w:val="00DD1FC3"/>
    <w:rsid w:val="00DD2EDA"/>
    <w:rsid w:val="00DD33C7"/>
    <w:rsid w:val="00DD3C63"/>
    <w:rsid w:val="00DD75B5"/>
    <w:rsid w:val="00DE1545"/>
    <w:rsid w:val="00DE2CAA"/>
    <w:rsid w:val="00DE6123"/>
    <w:rsid w:val="00DF015C"/>
    <w:rsid w:val="00DF05FB"/>
    <w:rsid w:val="00DF1465"/>
    <w:rsid w:val="00DF3DD2"/>
    <w:rsid w:val="00DF549B"/>
    <w:rsid w:val="00DF5897"/>
    <w:rsid w:val="00DF64B2"/>
    <w:rsid w:val="00DF70AF"/>
    <w:rsid w:val="00E022C5"/>
    <w:rsid w:val="00E04F76"/>
    <w:rsid w:val="00E05149"/>
    <w:rsid w:val="00E1165C"/>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0ACF"/>
    <w:rsid w:val="00E31266"/>
    <w:rsid w:val="00E3574D"/>
    <w:rsid w:val="00E40B2D"/>
    <w:rsid w:val="00E40BD3"/>
    <w:rsid w:val="00E4163B"/>
    <w:rsid w:val="00E41A24"/>
    <w:rsid w:val="00E421BF"/>
    <w:rsid w:val="00E4287B"/>
    <w:rsid w:val="00E4302B"/>
    <w:rsid w:val="00E4787B"/>
    <w:rsid w:val="00E47B5A"/>
    <w:rsid w:val="00E51D60"/>
    <w:rsid w:val="00E5223E"/>
    <w:rsid w:val="00E5247F"/>
    <w:rsid w:val="00E5261E"/>
    <w:rsid w:val="00E52BB4"/>
    <w:rsid w:val="00E52C4B"/>
    <w:rsid w:val="00E53BCB"/>
    <w:rsid w:val="00E54849"/>
    <w:rsid w:val="00E5578D"/>
    <w:rsid w:val="00E5659A"/>
    <w:rsid w:val="00E57208"/>
    <w:rsid w:val="00E60C93"/>
    <w:rsid w:val="00E61CEB"/>
    <w:rsid w:val="00E638C9"/>
    <w:rsid w:val="00E647EA"/>
    <w:rsid w:val="00E653E7"/>
    <w:rsid w:val="00E67056"/>
    <w:rsid w:val="00E70997"/>
    <w:rsid w:val="00E71020"/>
    <w:rsid w:val="00E7215F"/>
    <w:rsid w:val="00E73A86"/>
    <w:rsid w:val="00E73DD6"/>
    <w:rsid w:val="00E74AF7"/>
    <w:rsid w:val="00E775E9"/>
    <w:rsid w:val="00E776C2"/>
    <w:rsid w:val="00E80742"/>
    <w:rsid w:val="00E811CC"/>
    <w:rsid w:val="00E81724"/>
    <w:rsid w:val="00E81A76"/>
    <w:rsid w:val="00E81B32"/>
    <w:rsid w:val="00E84BDC"/>
    <w:rsid w:val="00E8521A"/>
    <w:rsid w:val="00E867CC"/>
    <w:rsid w:val="00E87865"/>
    <w:rsid w:val="00E87CEB"/>
    <w:rsid w:val="00E90B5F"/>
    <w:rsid w:val="00E93FC0"/>
    <w:rsid w:val="00E95A13"/>
    <w:rsid w:val="00E97468"/>
    <w:rsid w:val="00EA113B"/>
    <w:rsid w:val="00EA3B28"/>
    <w:rsid w:val="00EA3BD2"/>
    <w:rsid w:val="00EA48E0"/>
    <w:rsid w:val="00EA5708"/>
    <w:rsid w:val="00EA5D7F"/>
    <w:rsid w:val="00EA7111"/>
    <w:rsid w:val="00EA7892"/>
    <w:rsid w:val="00EB028F"/>
    <w:rsid w:val="00EB0302"/>
    <w:rsid w:val="00EB0C54"/>
    <w:rsid w:val="00EB11F4"/>
    <w:rsid w:val="00EB12F3"/>
    <w:rsid w:val="00EB1563"/>
    <w:rsid w:val="00EB1D8C"/>
    <w:rsid w:val="00EB2568"/>
    <w:rsid w:val="00EB4C93"/>
    <w:rsid w:val="00EB5B77"/>
    <w:rsid w:val="00EB6B68"/>
    <w:rsid w:val="00EB746B"/>
    <w:rsid w:val="00EC0E80"/>
    <w:rsid w:val="00EC110D"/>
    <w:rsid w:val="00EC18FC"/>
    <w:rsid w:val="00EC1A64"/>
    <w:rsid w:val="00EC4256"/>
    <w:rsid w:val="00EC4DE3"/>
    <w:rsid w:val="00EC53E0"/>
    <w:rsid w:val="00EC5994"/>
    <w:rsid w:val="00EC5A15"/>
    <w:rsid w:val="00EC6DE3"/>
    <w:rsid w:val="00ED0B4A"/>
    <w:rsid w:val="00ED2059"/>
    <w:rsid w:val="00ED41B6"/>
    <w:rsid w:val="00ED5DA6"/>
    <w:rsid w:val="00EE0BB2"/>
    <w:rsid w:val="00EE0E75"/>
    <w:rsid w:val="00EE18EF"/>
    <w:rsid w:val="00EE370B"/>
    <w:rsid w:val="00EE5CC7"/>
    <w:rsid w:val="00EE679E"/>
    <w:rsid w:val="00EE6D9D"/>
    <w:rsid w:val="00EE7DB2"/>
    <w:rsid w:val="00EF05CB"/>
    <w:rsid w:val="00EF1AA9"/>
    <w:rsid w:val="00EF294E"/>
    <w:rsid w:val="00EF325D"/>
    <w:rsid w:val="00EF5153"/>
    <w:rsid w:val="00EF6139"/>
    <w:rsid w:val="00EF79F5"/>
    <w:rsid w:val="00F038A1"/>
    <w:rsid w:val="00F03BC3"/>
    <w:rsid w:val="00F04036"/>
    <w:rsid w:val="00F041EC"/>
    <w:rsid w:val="00F10E43"/>
    <w:rsid w:val="00F11B0B"/>
    <w:rsid w:val="00F11F5B"/>
    <w:rsid w:val="00F1215F"/>
    <w:rsid w:val="00F14DF3"/>
    <w:rsid w:val="00F16053"/>
    <w:rsid w:val="00F163D7"/>
    <w:rsid w:val="00F20B13"/>
    <w:rsid w:val="00F21C17"/>
    <w:rsid w:val="00F24297"/>
    <w:rsid w:val="00F2484D"/>
    <w:rsid w:val="00F30578"/>
    <w:rsid w:val="00F31FFC"/>
    <w:rsid w:val="00F33064"/>
    <w:rsid w:val="00F33DCC"/>
    <w:rsid w:val="00F368A4"/>
    <w:rsid w:val="00F37473"/>
    <w:rsid w:val="00F40140"/>
    <w:rsid w:val="00F40897"/>
    <w:rsid w:val="00F41B1A"/>
    <w:rsid w:val="00F430CA"/>
    <w:rsid w:val="00F443B2"/>
    <w:rsid w:val="00F4644C"/>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03CB"/>
    <w:rsid w:val="00F7186E"/>
    <w:rsid w:val="00F72744"/>
    <w:rsid w:val="00F7412C"/>
    <w:rsid w:val="00F74CF3"/>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145F"/>
    <w:rsid w:val="00FC3E9F"/>
    <w:rsid w:val="00FD0C27"/>
    <w:rsid w:val="00FD0CE9"/>
    <w:rsid w:val="00FD1227"/>
    <w:rsid w:val="00FD19BA"/>
    <w:rsid w:val="00FD1C41"/>
    <w:rsid w:val="00FD2CF6"/>
    <w:rsid w:val="00FD2DCF"/>
    <w:rsid w:val="00FD2EA2"/>
    <w:rsid w:val="00FD3035"/>
    <w:rsid w:val="00FD75B4"/>
    <w:rsid w:val="00FE1782"/>
    <w:rsid w:val="00FE2FE5"/>
    <w:rsid w:val="00FE5B9F"/>
    <w:rsid w:val="00FE65B2"/>
    <w:rsid w:val="00FE6CE6"/>
    <w:rsid w:val="00FF2C80"/>
    <w:rsid w:val="00FF3642"/>
    <w:rsid w:val="00FF381F"/>
    <w:rsid w:val="00FF3D80"/>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F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 w:type="character" w:customStyle="1" w:styleId="HeaderChar">
    <w:name w:val="Header Char"/>
    <w:basedOn w:val="DefaultParagraphFont"/>
    <w:link w:val="Header"/>
    <w:uiPriority w:val="99"/>
    <w:rsid w:val="006C2E6C"/>
    <w:rPr>
      <w:sz w:val="24"/>
    </w:rPr>
  </w:style>
  <w:style w:type="paragraph" w:styleId="ListParagraph">
    <w:name w:val="List Paragraph"/>
    <w:basedOn w:val="Normal"/>
    <w:uiPriority w:val="34"/>
    <w:qFormat/>
    <w:rsid w:val="00260D48"/>
    <w:pPr>
      <w:ind w:left="720"/>
      <w:contextualSpacing/>
    </w:pPr>
  </w:style>
  <w:style w:type="character" w:styleId="PlaceholderText">
    <w:name w:val="Placeholder Text"/>
    <w:basedOn w:val="DefaultParagraphFont"/>
    <w:uiPriority w:val="99"/>
    <w:semiHidden/>
    <w:rsid w:val="005D21AF"/>
    <w:rPr>
      <w:color w:val="808080"/>
    </w:rPr>
  </w:style>
  <w:style w:type="character" w:styleId="Emphasis">
    <w:name w:val="Emphasis"/>
    <w:qFormat/>
    <w:rsid w:val="005D21AF"/>
    <w:rPr>
      <w:i/>
      <w:iCs/>
    </w:rPr>
  </w:style>
  <w:style w:type="paragraph" w:customStyle="1" w:styleId="xl71">
    <w:name w:val="xl71"/>
    <w:basedOn w:val="Normal"/>
    <w:rsid w:val="002E3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9">
    <w:name w:val="xl79"/>
    <w:basedOn w:val="Normal"/>
    <w:rsid w:val="002E3B62"/>
    <w:pPr>
      <w:spacing w:before="100" w:beforeAutospacing="1" w:after="100" w:afterAutospacing="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0762650">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82798460">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587">
      <w:bodyDiv w:val="1"/>
      <w:marLeft w:val="0"/>
      <w:marRight w:val="0"/>
      <w:marTop w:val="0"/>
      <w:marBottom w:val="0"/>
      <w:divBdr>
        <w:top w:val="none" w:sz="0" w:space="0" w:color="auto"/>
        <w:left w:val="none" w:sz="0" w:space="0" w:color="auto"/>
        <w:bottom w:val="none" w:sz="0" w:space="0" w:color="auto"/>
        <w:right w:val="none" w:sz="0" w:space="0" w:color="auto"/>
      </w:divBdr>
    </w:div>
    <w:div w:id="202792091">
      <w:bodyDiv w:val="1"/>
      <w:marLeft w:val="0"/>
      <w:marRight w:val="0"/>
      <w:marTop w:val="0"/>
      <w:marBottom w:val="0"/>
      <w:divBdr>
        <w:top w:val="none" w:sz="0" w:space="0" w:color="auto"/>
        <w:left w:val="none" w:sz="0" w:space="0" w:color="auto"/>
        <w:bottom w:val="none" w:sz="0" w:space="0" w:color="auto"/>
        <w:right w:val="none" w:sz="0" w:space="0" w:color="auto"/>
      </w:divBdr>
    </w:div>
    <w:div w:id="205139546">
      <w:bodyDiv w:val="1"/>
      <w:marLeft w:val="0"/>
      <w:marRight w:val="0"/>
      <w:marTop w:val="0"/>
      <w:marBottom w:val="0"/>
      <w:divBdr>
        <w:top w:val="none" w:sz="0" w:space="0" w:color="auto"/>
        <w:left w:val="none" w:sz="0" w:space="0" w:color="auto"/>
        <w:bottom w:val="none" w:sz="0" w:space="0" w:color="auto"/>
        <w:right w:val="none" w:sz="0" w:space="0" w:color="auto"/>
      </w:divBdr>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94530788">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57644048">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71544923">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74458820">
      <w:bodyDiv w:val="1"/>
      <w:marLeft w:val="0"/>
      <w:marRight w:val="0"/>
      <w:marTop w:val="0"/>
      <w:marBottom w:val="0"/>
      <w:divBdr>
        <w:top w:val="none" w:sz="0" w:space="0" w:color="auto"/>
        <w:left w:val="none" w:sz="0" w:space="0" w:color="auto"/>
        <w:bottom w:val="none" w:sz="0" w:space="0" w:color="auto"/>
        <w:right w:val="none" w:sz="0" w:space="0" w:color="auto"/>
      </w:divBdr>
    </w:div>
    <w:div w:id="679820662">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59182683">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39662454">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24653502">
      <w:bodyDiv w:val="1"/>
      <w:marLeft w:val="0"/>
      <w:marRight w:val="0"/>
      <w:marTop w:val="0"/>
      <w:marBottom w:val="0"/>
      <w:divBdr>
        <w:top w:val="none" w:sz="0" w:space="0" w:color="auto"/>
        <w:left w:val="none" w:sz="0" w:space="0" w:color="auto"/>
        <w:bottom w:val="none" w:sz="0" w:space="0" w:color="auto"/>
        <w:right w:val="none" w:sz="0" w:space="0" w:color="auto"/>
      </w:divBdr>
    </w:div>
    <w:div w:id="925649954">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50403597">
      <w:bodyDiv w:val="1"/>
      <w:marLeft w:val="0"/>
      <w:marRight w:val="0"/>
      <w:marTop w:val="0"/>
      <w:marBottom w:val="0"/>
      <w:divBdr>
        <w:top w:val="none" w:sz="0" w:space="0" w:color="auto"/>
        <w:left w:val="none" w:sz="0" w:space="0" w:color="auto"/>
        <w:bottom w:val="none" w:sz="0" w:space="0" w:color="auto"/>
        <w:right w:val="none" w:sz="0" w:space="0" w:color="auto"/>
      </w:divBdr>
    </w:div>
    <w:div w:id="983856225">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7316104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4249405">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171723910">
      <w:bodyDiv w:val="1"/>
      <w:marLeft w:val="0"/>
      <w:marRight w:val="0"/>
      <w:marTop w:val="0"/>
      <w:marBottom w:val="0"/>
      <w:divBdr>
        <w:top w:val="none" w:sz="0" w:space="0" w:color="auto"/>
        <w:left w:val="none" w:sz="0" w:space="0" w:color="auto"/>
        <w:bottom w:val="none" w:sz="0" w:space="0" w:color="auto"/>
        <w:right w:val="none" w:sz="0" w:space="0" w:color="auto"/>
      </w:divBdr>
    </w:div>
    <w:div w:id="1176726072">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9999692">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30905198">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359045345">
      <w:bodyDiv w:val="1"/>
      <w:marLeft w:val="0"/>
      <w:marRight w:val="0"/>
      <w:marTop w:val="0"/>
      <w:marBottom w:val="0"/>
      <w:divBdr>
        <w:top w:val="none" w:sz="0" w:space="0" w:color="auto"/>
        <w:left w:val="none" w:sz="0" w:space="0" w:color="auto"/>
        <w:bottom w:val="none" w:sz="0" w:space="0" w:color="auto"/>
        <w:right w:val="none" w:sz="0" w:space="0" w:color="auto"/>
      </w:divBdr>
    </w:div>
    <w:div w:id="1377974640">
      <w:bodyDiv w:val="1"/>
      <w:marLeft w:val="0"/>
      <w:marRight w:val="0"/>
      <w:marTop w:val="0"/>
      <w:marBottom w:val="0"/>
      <w:divBdr>
        <w:top w:val="none" w:sz="0" w:space="0" w:color="auto"/>
        <w:left w:val="none" w:sz="0" w:space="0" w:color="auto"/>
        <w:bottom w:val="none" w:sz="0" w:space="0" w:color="auto"/>
        <w:right w:val="none" w:sz="0" w:space="0" w:color="auto"/>
      </w:divBdr>
    </w:div>
    <w:div w:id="138290241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52820713">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2724332">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09710434">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4102888">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2443103">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89533238">
      <w:bodyDiv w:val="1"/>
      <w:marLeft w:val="0"/>
      <w:marRight w:val="0"/>
      <w:marTop w:val="0"/>
      <w:marBottom w:val="0"/>
      <w:divBdr>
        <w:top w:val="none" w:sz="0" w:space="0" w:color="auto"/>
        <w:left w:val="none" w:sz="0" w:space="0" w:color="auto"/>
        <w:bottom w:val="none" w:sz="0" w:space="0" w:color="auto"/>
        <w:right w:val="none" w:sz="0" w:space="0" w:color="auto"/>
      </w:divBdr>
    </w:div>
    <w:div w:id="1638417086">
      <w:bodyDiv w:val="1"/>
      <w:marLeft w:val="0"/>
      <w:marRight w:val="0"/>
      <w:marTop w:val="0"/>
      <w:marBottom w:val="0"/>
      <w:divBdr>
        <w:top w:val="none" w:sz="0" w:space="0" w:color="auto"/>
        <w:left w:val="none" w:sz="0" w:space="0" w:color="auto"/>
        <w:bottom w:val="none" w:sz="0" w:space="0" w:color="auto"/>
        <w:right w:val="none" w:sz="0" w:space="0" w:color="auto"/>
      </w:divBdr>
    </w:div>
    <w:div w:id="1639144488">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798448569">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1992907773">
      <w:bodyDiv w:val="1"/>
      <w:marLeft w:val="0"/>
      <w:marRight w:val="0"/>
      <w:marTop w:val="0"/>
      <w:marBottom w:val="0"/>
      <w:divBdr>
        <w:top w:val="none" w:sz="0" w:space="0" w:color="auto"/>
        <w:left w:val="none" w:sz="0" w:space="0" w:color="auto"/>
        <w:bottom w:val="none" w:sz="0" w:space="0" w:color="auto"/>
        <w:right w:val="none" w:sz="0" w:space="0" w:color="auto"/>
      </w:divBdr>
    </w:div>
    <w:div w:id="2000570761">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0585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3671-C2A6-4254-B490-5900F378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6272</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2024-06-11T13:06:00Z</dcterms:created>
  <dcterms:modified xsi:type="dcterms:W3CDTF">2024-06-11T14:35:00Z</dcterms:modified>
</cp:coreProperties>
</file>