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v:fill r:id="rId4" o:title="Outlined diamond" type="pattern"/>
    </v:background>
  </w:background>
  <w:body>
    <w:p w14:paraId="4BDA1403" w14:textId="77777777" w:rsidR="00CF5444" w:rsidRDefault="00CF5444" w:rsidP="00506D4C">
      <w:pPr>
        <w:pStyle w:val="Heading2"/>
      </w:pPr>
      <w:r>
        <w:t>Department of Accounts</w:t>
      </w:r>
    </w:p>
    <w:p w14:paraId="083EA324"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66054CB4" w14:textId="77777777"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14:paraId="1A8F4B7B" w14:textId="77777777">
        <w:trPr>
          <w:cantSplit/>
        </w:trPr>
        <w:tc>
          <w:tcPr>
            <w:tcW w:w="3366" w:type="dxa"/>
            <w:tcBorders>
              <w:bottom w:val="double" w:sz="6" w:space="0" w:color="auto"/>
            </w:tcBorders>
          </w:tcPr>
          <w:p w14:paraId="745C912B" w14:textId="70CA0592" w:rsidR="00CF5444" w:rsidRDefault="00CF5444" w:rsidP="003919D7">
            <w:pPr>
              <w:pStyle w:val="Header"/>
              <w:rPr>
                <w:b/>
                <w:sz w:val="20"/>
              </w:rPr>
            </w:pPr>
            <w:r>
              <w:rPr>
                <w:b/>
                <w:sz w:val="20"/>
              </w:rPr>
              <w:t xml:space="preserve">Calendar Year </w:t>
            </w:r>
            <w:r w:rsidR="008D1D03">
              <w:rPr>
                <w:b/>
                <w:sz w:val="20"/>
              </w:rPr>
              <w:t>202</w:t>
            </w:r>
            <w:r w:rsidR="00BB6482">
              <w:rPr>
                <w:b/>
                <w:sz w:val="20"/>
              </w:rPr>
              <w:t>4</w:t>
            </w:r>
          </w:p>
        </w:tc>
        <w:tc>
          <w:tcPr>
            <w:tcW w:w="3366" w:type="dxa"/>
            <w:tcBorders>
              <w:bottom w:val="double" w:sz="6" w:space="0" w:color="auto"/>
            </w:tcBorders>
          </w:tcPr>
          <w:p w14:paraId="1E3A2186" w14:textId="35D3C0A5" w:rsidR="00396BAC" w:rsidRDefault="00D832CD" w:rsidP="003919D7">
            <w:pPr>
              <w:pStyle w:val="Header"/>
              <w:rPr>
                <w:b/>
                <w:sz w:val="20"/>
              </w:rPr>
            </w:pPr>
            <w:r>
              <w:rPr>
                <w:b/>
                <w:sz w:val="20"/>
              </w:rPr>
              <w:t xml:space="preserve">               </w:t>
            </w:r>
            <w:r w:rsidR="00AD0F8F">
              <w:rPr>
                <w:b/>
                <w:sz w:val="20"/>
              </w:rPr>
              <w:t>April 1</w:t>
            </w:r>
            <w:r w:rsidR="00834413">
              <w:rPr>
                <w:b/>
                <w:sz w:val="20"/>
              </w:rPr>
              <w:t>2</w:t>
            </w:r>
            <w:r w:rsidR="00AD0F8F">
              <w:rPr>
                <w:b/>
                <w:sz w:val="20"/>
              </w:rPr>
              <w:t>,</w:t>
            </w:r>
            <w:r w:rsidR="000E5FF4">
              <w:rPr>
                <w:b/>
                <w:sz w:val="20"/>
              </w:rPr>
              <w:t xml:space="preserve"> </w:t>
            </w:r>
            <w:proofErr w:type="gramStart"/>
            <w:r w:rsidR="000E5FF4">
              <w:rPr>
                <w:b/>
                <w:sz w:val="20"/>
              </w:rPr>
              <w:t>2024</w:t>
            </w:r>
            <w:proofErr w:type="gramEnd"/>
            <w:r w:rsidR="0038310C">
              <w:rPr>
                <w:b/>
                <w:sz w:val="20"/>
              </w:rPr>
              <w:t xml:space="preserve"> </w:t>
            </w:r>
          </w:p>
        </w:tc>
        <w:tc>
          <w:tcPr>
            <w:tcW w:w="3366" w:type="dxa"/>
            <w:tcBorders>
              <w:bottom w:val="double" w:sz="6" w:space="0" w:color="auto"/>
            </w:tcBorders>
          </w:tcPr>
          <w:p w14:paraId="3724D1BF" w14:textId="701801E5" w:rsidR="00CF5444" w:rsidRDefault="00CF5444" w:rsidP="003919D7">
            <w:pPr>
              <w:pStyle w:val="Header"/>
              <w:jc w:val="right"/>
              <w:rPr>
                <w:b/>
                <w:sz w:val="20"/>
              </w:rPr>
            </w:pPr>
            <w:r>
              <w:rPr>
                <w:b/>
                <w:sz w:val="20"/>
              </w:rPr>
              <w:t>Volume</w:t>
            </w:r>
            <w:r w:rsidR="00687085">
              <w:rPr>
                <w:b/>
                <w:sz w:val="20"/>
              </w:rPr>
              <w:t xml:space="preserve"> </w:t>
            </w:r>
            <w:r w:rsidR="00C51D88">
              <w:rPr>
                <w:b/>
                <w:sz w:val="20"/>
              </w:rPr>
              <w:t>#</w:t>
            </w:r>
            <w:r w:rsidR="008D1D03">
              <w:rPr>
                <w:b/>
                <w:sz w:val="20"/>
              </w:rPr>
              <w:t>202</w:t>
            </w:r>
            <w:r w:rsidR="00BB6482">
              <w:rPr>
                <w:b/>
                <w:sz w:val="20"/>
              </w:rPr>
              <w:t>4</w:t>
            </w:r>
            <w:r>
              <w:rPr>
                <w:b/>
                <w:sz w:val="20"/>
              </w:rPr>
              <w:t>-</w:t>
            </w:r>
            <w:r w:rsidR="00BB6482">
              <w:rPr>
                <w:b/>
                <w:sz w:val="20"/>
              </w:rPr>
              <w:t>0</w:t>
            </w:r>
            <w:r w:rsidR="00AD0F8F">
              <w:rPr>
                <w:b/>
                <w:sz w:val="20"/>
              </w:rPr>
              <w:t>5</w:t>
            </w:r>
          </w:p>
        </w:tc>
      </w:tr>
    </w:tbl>
    <w:p w14:paraId="2A0A5FB7" w14:textId="77777777" w:rsidR="008E69F6" w:rsidRDefault="008E69F6">
      <w:pPr>
        <w:tabs>
          <w:tab w:val="left" w:pos="990"/>
        </w:tabs>
        <w:jc w:val="center"/>
      </w:pPr>
    </w:p>
    <w:tbl>
      <w:tblPr>
        <w:tblW w:w="9936" w:type="dxa"/>
        <w:tblLook w:val="01E0" w:firstRow="1" w:lastRow="1" w:firstColumn="1" w:lastColumn="1" w:noHBand="0" w:noVBand="0"/>
      </w:tblPr>
      <w:tblGrid>
        <w:gridCol w:w="2226"/>
        <w:gridCol w:w="3985"/>
        <w:gridCol w:w="3725"/>
      </w:tblGrid>
      <w:tr w:rsidR="00403EF4" w14:paraId="44FC599D" w14:textId="77777777" w:rsidTr="009C3A67">
        <w:tc>
          <w:tcPr>
            <w:tcW w:w="2226" w:type="dxa"/>
          </w:tcPr>
          <w:p w14:paraId="177BC352" w14:textId="77777777"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14:paraId="0200E31B" w14:textId="77777777" w:rsidR="0056085F" w:rsidRPr="00EF6516" w:rsidRDefault="0056085F" w:rsidP="00EF6516">
            <w:pPr>
              <w:spacing w:before="120"/>
              <w:rPr>
                <w:b/>
              </w:rPr>
            </w:pPr>
          </w:p>
        </w:tc>
        <w:tc>
          <w:tcPr>
            <w:tcW w:w="3985" w:type="dxa"/>
          </w:tcPr>
          <w:p w14:paraId="6C68DF0D" w14:textId="77777777" w:rsidR="007C71E8" w:rsidRDefault="007C71E8" w:rsidP="00D77EBB">
            <w:pPr>
              <w:numPr>
                <w:ilvl w:val="0"/>
                <w:numId w:val="2"/>
              </w:numPr>
              <w:tabs>
                <w:tab w:val="left" w:pos="990"/>
              </w:tabs>
              <w:spacing w:before="60"/>
              <w:ind w:left="547"/>
              <w:rPr>
                <w:szCs w:val="24"/>
              </w:rPr>
            </w:pPr>
            <w:r>
              <w:rPr>
                <w:szCs w:val="24"/>
              </w:rPr>
              <w:t>VRS Rate Separation</w:t>
            </w:r>
          </w:p>
          <w:p w14:paraId="3736B597" w14:textId="77777777" w:rsidR="009D2BFB" w:rsidRDefault="00CD107E" w:rsidP="009D2BFB">
            <w:pPr>
              <w:numPr>
                <w:ilvl w:val="0"/>
                <w:numId w:val="2"/>
              </w:numPr>
              <w:tabs>
                <w:tab w:val="left" w:pos="990"/>
              </w:tabs>
              <w:spacing w:before="60"/>
              <w:ind w:left="547"/>
              <w:rPr>
                <w:szCs w:val="24"/>
              </w:rPr>
            </w:pPr>
            <w:r>
              <w:rPr>
                <w:szCs w:val="24"/>
              </w:rPr>
              <w:t xml:space="preserve">Cardinal HCM </w:t>
            </w:r>
            <w:r w:rsidR="00E542F6">
              <w:rPr>
                <w:szCs w:val="24"/>
              </w:rPr>
              <w:t>Processing</w:t>
            </w:r>
          </w:p>
          <w:p w14:paraId="029C7A46" w14:textId="77777777" w:rsidR="00E542F6" w:rsidRDefault="00E542F6" w:rsidP="009D2BFB">
            <w:pPr>
              <w:numPr>
                <w:ilvl w:val="0"/>
                <w:numId w:val="2"/>
              </w:numPr>
              <w:tabs>
                <w:tab w:val="left" w:pos="990"/>
              </w:tabs>
              <w:spacing w:before="60"/>
              <w:ind w:left="547"/>
              <w:rPr>
                <w:szCs w:val="24"/>
              </w:rPr>
            </w:pPr>
            <w:r>
              <w:rPr>
                <w:szCs w:val="24"/>
              </w:rPr>
              <w:t>Cardinal HCM Reports and Data Queries</w:t>
            </w:r>
          </w:p>
          <w:p w14:paraId="739E7BF2" w14:textId="77777777" w:rsidR="003E3832" w:rsidRDefault="003E3832" w:rsidP="003E3832">
            <w:pPr>
              <w:numPr>
                <w:ilvl w:val="0"/>
                <w:numId w:val="2"/>
              </w:numPr>
              <w:tabs>
                <w:tab w:val="left" w:pos="990"/>
              </w:tabs>
              <w:spacing w:before="60"/>
              <w:ind w:left="547"/>
              <w:rPr>
                <w:szCs w:val="24"/>
              </w:rPr>
            </w:pPr>
            <w:r>
              <w:rPr>
                <w:szCs w:val="24"/>
              </w:rPr>
              <w:t>Balance Adjustment Reminders</w:t>
            </w:r>
          </w:p>
          <w:p w14:paraId="42B88712" w14:textId="77777777" w:rsidR="009D2BFB" w:rsidRDefault="009D2BFB" w:rsidP="009D2BFB">
            <w:pPr>
              <w:numPr>
                <w:ilvl w:val="0"/>
                <w:numId w:val="2"/>
              </w:numPr>
              <w:tabs>
                <w:tab w:val="left" w:pos="990"/>
              </w:tabs>
              <w:spacing w:before="60"/>
              <w:ind w:left="547"/>
              <w:rPr>
                <w:szCs w:val="24"/>
              </w:rPr>
            </w:pPr>
            <w:r>
              <w:rPr>
                <w:szCs w:val="24"/>
              </w:rPr>
              <w:t>W2C Request Reminders</w:t>
            </w:r>
          </w:p>
          <w:p w14:paraId="1BC33ADF" w14:textId="2F27F017" w:rsidR="009D2BFB" w:rsidRPr="00D77EBB" w:rsidRDefault="009D2BFB" w:rsidP="009D2BFB">
            <w:pPr>
              <w:numPr>
                <w:ilvl w:val="0"/>
                <w:numId w:val="2"/>
              </w:numPr>
              <w:tabs>
                <w:tab w:val="left" w:pos="990"/>
              </w:tabs>
              <w:spacing w:before="60"/>
              <w:ind w:left="547"/>
              <w:rPr>
                <w:szCs w:val="24"/>
              </w:rPr>
            </w:pPr>
            <w:r>
              <w:rPr>
                <w:szCs w:val="24"/>
              </w:rPr>
              <w:t>Overpayment Reminders</w:t>
            </w:r>
          </w:p>
        </w:tc>
        <w:tc>
          <w:tcPr>
            <w:tcW w:w="3725" w:type="dxa"/>
          </w:tcPr>
          <w:p w14:paraId="2BB64804" w14:textId="34E135EB" w:rsidR="0056085F" w:rsidRDefault="0056085F" w:rsidP="00EF6516">
            <w:pPr>
              <w:tabs>
                <w:tab w:val="left" w:pos="990"/>
              </w:tabs>
              <w:spacing w:before="120"/>
              <w:rPr>
                <w:sz w:val="20"/>
              </w:rPr>
            </w:pPr>
            <w:r w:rsidRPr="00EF6516">
              <w:rPr>
                <w:sz w:val="20"/>
              </w:rPr>
              <w:t xml:space="preserve">The Payroll Bulletin is published periodically to provide </w:t>
            </w:r>
            <w:r w:rsidR="00F467E0">
              <w:rPr>
                <w:sz w:val="20"/>
              </w:rPr>
              <w:t xml:space="preserve">HCM </w:t>
            </w:r>
            <w:proofErr w:type="gramStart"/>
            <w:r w:rsidR="00F467E0">
              <w:rPr>
                <w:sz w:val="20"/>
              </w:rPr>
              <w:t xml:space="preserve">Payroll </w:t>
            </w:r>
            <w:r w:rsidRPr="00EF6516">
              <w:rPr>
                <w:sz w:val="20"/>
              </w:rPr>
              <w:t xml:space="preserve"> agencies</w:t>
            </w:r>
            <w:proofErr w:type="gramEnd"/>
            <w:r w:rsidRPr="00EF6516">
              <w:rPr>
                <w:sz w:val="20"/>
              </w:rPr>
              <w:t xml:space="preserve"> guidance regarding Commonwealth payroll operations.  If </w:t>
            </w:r>
            <w:r w:rsidR="00533735">
              <w:rPr>
                <w:sz w:val="20"/>
              </w:rPr>
              <w:t>you have any questions about this</w:t>
            </w:r>
            <w:r w:rsidRPr="00EF6516">
              <w:rPr>
                <w:sz w:val="20"/>
              </w:rPr>
              <w:t xml:space="preserve"> bulletin, pl</w:t>
            </w:r>
            <w:r w:rsidR="00533735">
              <w:rPr>
                <w:sz w:val="20"/>
              </w:rPr>
              <w:t>ease send an e</w:t>
            </w:r>
            <w:r w:rsidRPr="00EF6516">
              <w:rPr>
                <w:sz w:val="20"/>
              </w:rPr>
              <w:t xml:space="preserve">mail </w:t>
            </w:r>
            <w:r w:rsidR="00533735">
              <w:rPr>
                <w:sz w:val="20"/>
              </w:rPr>
              <w:t>to</w:t>
            </w:r>
            <w:r w:rsidRPr="00EF6516">
              <w:rPr>
                <w:sz w:val="20"/>
              </w:rPr>
              <w:t xml:space="preserve"> </w:t>
            </w:r>
            <w:hyperlink r:id="rId9" w:history="1">
              <w:r w:rsidR="00533735" w:rsidRPr="004215EF">
                <w:rPr>
                  <w:rStyle w:val="Hyperlink"/>
                  <w:sz w:val="20"/>
                </w:rPr>
                <w:t>payroll@doa.virginia.gov</w:t>
              </w:r>
            </w:hyperlink>
          </w:p>
          <w:p w14:paraId="0AF5947A" w14:textId="77777777" w:rsidR="0056085F" w:rsidRPr="00EF6516" w:rsidRDefault="0056085F" w:rsidP="00EF6516">
            <w:pPr>
              <w:tabs>
                <w:tab w:val="left" w:pos="990"/>
              </w:tabs>
              <w:spacing w:before="120"/>
              <w:jc w:val="both"/>
              <w:rPr>
                <w:sz w:val="20"/>
                <w:u w:val="single"/>
              </w:rPr>
            </w:pPr>
            <w:r w:rsidRPr="00EF6516">
              <w:rPr>
                <w:sz w:val="20"/>
                <w:u w:val="single"/>
              </w:rPr>
              <w:t>State Payroll Operations</w:t>
            </w:r>
          </w:p>
          <w:p w14:paraId="0A4DC9B1" w14:textId="77777777" w:rsidR="0056085F" w:rsidRPr="00EF6516" w:rsidRDefault="0056085F" w:rsidP="00EF6516">
            <w:pPr>
              <w:tabs>
                <w:tab w:val="left" w:pos="990"/>
              </w:tabs>
              <w:spacing w:before="120"/>
              <w:rPr>
                <w:sz w:val="20"/>
              </w:rPr>
            </w:pPr>
            <w:r w:rsidRPr="00EF6516">
              <w:rPr>
                <w:b/>
                <w:sz w:val="20"/>
              </w:rPr>
              <w:t xml:space="preserve">Director                         </w:t>
            </w:r>
            <w:r w:rsidR="0052320B">
              <w:rPr>
                <w:b/>
                <w:sz w:val="20"/>
              </w:rPr>
              <w:t>Cathy McGill</w:t>
            </w:r>
          </w:p>
          <w:p w14:paraId="653F35B5" w14:textId="77777777" w:rsidR="0056085F" w:rsidRPr="00EF6516" w:rsidRDefault="0052320B" w:rsidP="0052320B">
            <w:pPr>
              <w:tabs>
                <w:tab w:val="left" w:pos="990"/>
              </w:tabs>
              <w:spacing w:before="120"/>
              <w:rPr>
                <w:szCs w:val="24"/>
              </w:rPr>
            </w:pPr>
            <w:r>
              <w:rPr>
                <w:sz w:val="20"/>
              </w:rPr>
              <w:t xml:space="preserve">Assistant </w:t>
            </w:r>
            <w:r w:rsidR="0056085F" w:rsidRPr="00EF6516">
              <w:rPr>
                <w:sz w:val="20"/>
              </w:rPr>
              <w:t xml:space="preserve">Director         </w:t>
            </w:r>
            <w:r>
              <w:rPr>
                <w:sz w:val="20"/>
              </w:rPr>
              <w:t xml:space="preserve"> Carmelita Holmes</w:t>
            </w:r>
          </w:p>
        </w:tc>
      </w:tr>
    </w:tbl>
    <w:p w14:paraId="76960710" w14:textId="77777777" w:rsidR="00B83731" w:rsidRPr="00233280" w:rsidRDefault="00B83731" w:rsidP="00233280">
      <w:pPr>
        <w:pStyle w:val="BlockLine"/>
        <w:spacing w:before="120"/>
        <w:ind w:left="1350"/>
        <w:rPr>
          <w:sz w:val="16"/>
          <w:szCs w:val="16"/>
        </w:rPr>
      </w:pPr>
    </w:p>
    <w:p w14:paraId="72F7F1AB" w14:textId="6DC19868" w:rsidR="00DF2DA5" w:rsidRPr="002E6F1F" w:rsidRDefault="00DF2DA5" w:rsidP="00DF2DA5">
      <w:pPr>
        <w:pStyle w:val="Heading4"/>
        <w:spacing w:after="0"/>
        <w:rPr>
          <w:rFonts w:ascii="Times New Roman" w:hAnsi="Times New Roman"/>
          <w:b/>
          <w:sz w:val="28"/>
          <w:szCs w:val="28"/>
        </w:rPr>
      </w:pPr>
      <w:bookmarkStart w:id="0" w:name="_Hlk162964951"/>
      <w:r>
        <w:rPr>
          <w:rFonts w:ascii="Times New Roman" w:hAnsi="Times New Roman"/>
          <w:b/>
          <w:sz w:val="28"/>
          <w:szCs w:val="28"/>
        </w:rPr>
        <w:t>VRS Rate Separation</w:t>
      </w:r>
    </w:p>
    <w:p w14:paraId="2CFF1BB7" w14:textId="77777777" w:rsidR="00DF2DA5" w:rsidRPr="002E6F1F" w:rsidRDefault="00DF2DA5" w:rsidP="00DF2DA5">
      <w:pPr>
        <w:pStyle w:val="BlockLine"/>
        <w:spacing w:before="120"/>
        <w:ind w:left="1350"/>
        <w:rPr>
          <w:sz w:val="18"/>
          <w:szCs w:val="18"/>
        </w:rPr>
      </w:pPr>
    </w:p>
    <w:tbl>
      <w:tblPr>
        <w:tblW w:w="10368" w:type="dxa"/>
        <w:tblLayout w:type="fixed"/>
        <w:tblLook w:val="0000" w:firstRow="0" w:lastRow="0" w:firstColumn="0" w:lastColumn="0" w:noHBand="0" w:noVBand="0"/>
      </w:tblPr>
      <w:tblGrid>
        <w:gridCol w:w="1728"/>
        <w:gridCol w:w="8640"/>
      </w:tblGrid>
      <w:tr w:rsidR="00DF2DA5" w:rsidRPr="00AD7188" w14:paraId="0E1F00C0" w14:textId="77777777" w:rsidTr="003D2194">
        <w:trPr>
          <w:cantSplit/>
        </w:trPr>
        <w:tc>
          <w:tcPr>
            <w:tcW w:w="1728" w:type="dxa"/>
          </w:tcPr>
          <w:bookmarkEnd w:id="0"/>
          <w:p w14:paraId="51D71937" w14:textId="116AFCB8" w:rsidR="00DF2DA5" w:rsidRPr="00AD7188" w:rsidRDefault="00DF2DA5" w:rsidP="003D2194">
            <w:pPr>
              <w:pStyle w:val="Heading5"/>
              <w:rPr>
                <w:szCs w:val="22"/>
              </w:rPr>
            </w:pPr>
            <w:r w:rsidRPr="00AD7188">
              <w:rPr>
                <w:szCs w:val="22"/>
              </w:rPr>
              <w:t>Changes Effective July 1, 2024</w:t>
            </w:r>
          </w:p>
        </w:tc>
        <w:tc>
          <w:tcPr>
            <w:tcW w:w="8640" w:type="dxa"/>
          </w:tcPr>
          <w:p w14:paraId="317363F5" w14:textId="77777777" w:rsidR="00DF2DA5" w:rsidRPr="00AD7188" w:rsidRDefault="00DF2DA5" w:rsidP="00DF2DA5">
            <w:pPr>
              <w:rPr>
                <w:sz w:val="22"/>
                <w:szCs w:val="22"/>
              </w:rPr>
            </w:pPr>
            <w:r w:rsidRPr="00AD7188">
              <w:rPr>
                <w:rFonts w:hint="cs"/>
                <w:sz w:val="22"/>
                <w:szCs w:val="22"/>
              </w:rPr>
              <w:t xml:space="preserve">VRS will simplify the way employer contributions are calculated and paid </w:t>
            </w:r>
            <w:r w:rsidRPr="00AD7188">
              <w:rPr>
                <w:sz w:val="22"/>
                <w:szCs w:val="22"/>
              </w:rPr>
              <w:t xml:space="preserve">in </w:t>
            </w:r>
            <w:r w:rsidRPr="00AD7188">
              <w:rPr>
                <w:rFonts w:hint="cs"/>
                <w:sz w:val="22"/>
                <w:szCs w:val="22"/>
              </w:rPr>
              <w:t>the </w:t>
            </w:r>
            <w:r w:rsidRPr="00AD7188">
              <w:rPr>
                <w:sz w:val="22"/>
                <w:szCs w:val="22"/>
              </w:rPr>
              <w:t>Hybrid Retirement Plan</w:t>
            </w:r>
            <w:r w:rsidRPr="00AD7188">
              <w:rPr>
                <w:rFonts w:hint="cs"/>
                <w:sz w:val="22"/>
                <w:szCs w:val="22"/>
              </w:rPr>
              <w:t xml:space="preserve">, beginning July 1. </w:t>
            </w:r>
            <w:r w:rsidRPr="00AD7188">
              <w:rPr>
                <w:sz w:val="22"/>
                <w:szCs w:val="22"/>
              </w:rPr>
              <w:t>P</w:t>
            </w:r>
            <w:r w:rsidRPr="00AD7188">
              <w:rPr>
                <w:rFonts w:hint="cs"/>
                <w:sz w:val="22"/>
                <w:szCs w:val="22"/>
              </w:rPr>
              <w:t>ayroll withholding for the </w:t>
            </w:r>
            <w:r w:rsidRPr="00AD7188">
              <w:rPr>
                <w:sz w:val="22"/>
                <w:szCs w:val="22"/>
              </w:rPr>
              <w:t>defined contribution component</w:t>
            </w:r>
            <w:r w:rsidRPr="00AD7188">
              <w:rPr>
                <w:rFonts w:hint="cs"/>
                <w:sz w:val="22"/>
                <w:szCs w:val="22"/>
              </w:rPr>
              <w:t> </w:t>
            </w:r>
            <w:r w:rsidRPr="00AD7188">
              <w:rPr>
                <w:sz w:val="22"/>
                <w:szCs w:val="22"/>
              </w:rPr>
              <w:t xml:space="preserve">will be </w:t>
            </w:r>
            <w:r w:rsidRPr="00AD7188">
              <w:rPr>
                <w:rFonts w:hint="cs"/>
                <w:sz w:val="22"/>
                <w:szCs w:val="22"/>
              </w:rPr>
              <w:t>independent from the </w:t>
            </w:r>
            <w:r w:rsidRPr="00AD7188">
              <w:rPr>
                <w:sz w:val="22"/>
                <w:szCs w:val="22"/>
              </w:rPr>
              <w:t>defined benefit component</w:t>
            </w:r>
            <w:r w:rsidRPr="00AD7188">
              <w:rPr>
                <w:rFonts w:hint="cs"/>
                <w:sz w:val="22"/>
                <w:szCs w:val="22"/>
              </w:rPr>
              <w:t xml:space="preserve">. </w:t>
            </w:r>
          </w:p>
          <w:p w14:paraId="32CE8BBE" w14:textId="77777777" w:rsidR="00DF2DA5" w:rsidRPr="00532CDF" w:rsidRDefault="00DF2DA5" w:rsidP="00DF2DA5">
            <w:pPr>
              <w:rPr>
                <w:sz w:val="16"/>
                <w:szCs w:val="16"/>
              </w:rPr>
            </w:pPr>
          </w:p>
          <w:p w14:paraId="4AED5692" w14:textId="3301B264" w:rsidR="00DF2DA5" w:rsidRPr="00AD7188" w:rsidRDefault="00DF2DA5" w:rsidP="00DF2DA5">
            <w:pPr>
              <w:rPr>
                <w:sz w:val="22"/>
                <w:szCs w:val="22"/>
              </w:rPr>
            </w:pPr>
            <w:r w:rsidRPr="00AD7188">
              <w:rPr>
                <w:sz w:val="22"/>
                <w:szCs w:val="22"/>
              </w:rPr>
              <w:t xml:space="preserve">The change follows legislation passed in 2022, with a delayed effective date to allow time to prepare. Programming changes will be made in Cardinal HCM to automatically separate the hybrid employer contribution rates for state agencies. As a state central payroll agency, no reporting changes are required through DOA or VRS. However, your monthly snapshot will look different after July 1, and it’s important to consider any impacts on your internal processing. </w:t>
            </w:r>
          </w:p>
        </w:tc>
      </w:tr>
    </w:tbl>
    <w:p w14:paraId="566C73D4" w14:textId="77777777" w:rsidR="00DF2DA5" w:rsidRPr="00AD7188" w:rsidRDefault="00DF2DA5" w:rsidP="00DF2DA5">
      <w:pPr>
        <w:pStyle w:val="BlockLine"/>
        <w:spacing w:before="120"/>
        <w:ind w:left="1350"/>
        <w:rPr>
          <w:sz w:val="22"/>
          <w:szCs w:val="22"/>
        </w:rPr>
      </w:pPr>
    </w:p>
    <w:tbl>
      <w:tblPr>
        <w:tblW w:w="10368" w:type="dxa"/>
        <w:tblLayout w:type="fixed"/>
        <w:tblLook w:val="0000" w:firstRow="0" w:lastRow="0" w:firstColumn="0" w:lastColumn="0" w:noHBand="0" w:noVBand="0"/>
      </w:tblPr>
      <w:tblGrid>
        <w:gridCol w:w="1728"/>
        <w:gridCol w:w="8640"/>
      </w:tblGrid>
      <w:tr w:rsidR="00DF2DA5" w:rsidRPr="00AD7188" w14:paraId="44DD4B23" w14:textId="77777777" w:rsidTr="003D2194">
        <w:trPr>
          <w:cantSplit/>
        </w:trPr>
        <w:tc>
          <w:tcPr>
            <w:tcW w:w="1728" w:type="dxa"/>
          </w:tcPr>
          <w:p w14:paraId="2DEFA31C" w14:textId="77777777" w:rsidR="00DF2DA5" w:rsidRPr="00AD7188" w:rsidRDefault="00DF2DA5" w:rsidP="00DF2DA5">
            <w:pPr>
              <w:rPr>
                <w:b/>
                <w:bCs/>
                <w:sz w:val="22"/>
                <w:szCs w:val="22"/>
              </w:rPr>
            </w:pPr>
            <w:r w:rsidRPr="00AD7188">
              <w:rPr>
                <w:b/>
                <w:bCs/>
                <w:sz w:val="22"/>
                <w:szCs w:val="22"/>
              </w:rPr>
              <w:t>What Will Improve?</w:t>
            </w:r>
          </w:p>
          <w:p w14:paraId="19A4810E" w14:textId="42E993CD" w:rsidR="00DF2DA5" w:rsidRPr="00AD7188" w:rsidRDefault="00DF2DA5" w:rsidP="003D2194">
            <w:pPr>
              <w:rPr>
                <w:b/>
                <w:sz w:val="22"/>
                <w:szCs w:val="22"/>
              </w:rPr>
            </w:pPr>
          </w:p>
        </w:tc>
        <w:tc>
          <w:tcPr>
            <w:tcW w:w="8640" w:type="dxa"/>
          </w:tcPr>
          <w:p w14:paraId="369E7AB1" w14:textId="77777777" w:rsidR="00DF2DA5" w:rsidRPr="00AD7188" w:rsidRDefault="00DF2DA5" w:rsidP="00DF2DA5">
            <w:pPr>
              <w:rPr>
                <w:sz w:val="22"/>
                <w:szCs w:val="22"/>
              </w:rPr>
            </w:pPr>
            <w:r w:rsidRPr="00AD7188">
              <w:rPr>
                <w:sz w:val="22"/>
                <w:szCs w:val="22"/>
              </w:rPr>
              <w:t>W</w:t>
            </w:r>
            <w:r w:rsidRPr="00AD7188">
              <w:rPr>
                <w:rFonts w:hint="cs"/>
                <w:sz w:val="22"/>
                <w:szCs w:val="22"/>
              </w:rPr>
              <w:t xml:space="preserve">ith rate separation, </w:t>
            </w:r>
            <w:r w:rsidRPr="00AD7188">
              <w:rPr>
                <w:sz w:val="22"/>
                <w:szCs w:val="22"/>
              </w:rPr>
              <w:t>you will n</w:t>
            </w:r>
            <w:r w:rsidRPr="00AD7188">
              <w:rPr>
                <w:rFonts w:hint="cs"/>
                <w:sz w:val="22"/>
                <w:szCs w:val="22"/>
              </w:rPr>
              <w:t xml:space="preserve">o longer need to reconcile </w:t>
            </w:r>
            <w:r w:rsidRPr="00AD7188">
              <w:rPr>
                <w:rFonts w:hint="cs"/>
                <w:b/>
                <w:bCs/>
                <w:sz w:val="22"/>
                <w:szCs w:val="22"/>
              </w:rPr>
              <w:t>defined contributions</w:t>
            </w:r>
            <w:r w:rsidRPr="00AD7188">
              <w:rPr>
                <w:rFonts w:hint="cs"/>
                <w:sz w:val="22"/>
                <w:szCs w:val="22"/>
              </w:rPr>
              <w:t xml:space="preserve"> for hybrid plan members with the monthly VRS snapshot. </w:t>
            </w:r>
            <w:r w:rsidRPr="00AD7188">
              <w:rPr>
                <w:sz w:val="22"/>
                <w:szCs w:val="22"/>
              </w:rPr>
              <w:t>The</w:t>
            </w:r>
            <w:r w:rsidRPr="00AD7188">
              <w:rPr>
                <w:rFonts w:hint="cs"/>
                <w:sz w:val="22"/>
                <w:szCs w:val="22"/>
              </w:rPr>
              <w:t xml:space="preserve"> expected hybrid </w:t>
            </w:r>
            <w:r w:rsidRPr="00AD7188">
              <w:rPr>
                <w:sz w:val="22"/>
                <w:szCs w:val="22"/>
              </w:rPr>
              <w:t xml:space="preserve">defined </w:t>
            </w:r>
            <w:r w:rsidRPr="00AD7188">
              <w:rPr>
                <w:rFonts w:hint="cs"/>
                <w:sz w:val="22"/>
                <w:szCs w:val="22"/>
              </w:rPr>
              <w:t xml:space="preserve">contribution amount will no longer appear on the VRS snapshot. </w:t>
            </w:r>
          </w:p>
          <w:p w14:paraId="78D598F6" w14:textId="77777777" w:rsidR="00DF2DA5" w:rsidRPr="00532CDF" w:rsidRDefault="00DF2DA5" w:rsidP="00DF2DA5">
            <w:pPr>
              <w:rPr>
                <w:sz w:val="16"/>
                <w:szCs w:val="16"/>
              </w:rPr>
            </w:pPr>
          </w:p>
          <w:p w14:paraId="22E1A0A9" w14:textId="01085399" w:rsidR="00DF2DA5" w:rsidRPr="00AD7188" w:rsidRDefault="00DF2DA5" w:rsidP="00DF2DA5">
            <w:pPr>
              <w:rPr>
                <w:sz w:val="22"/>
                <w:szCs w:val="22"/>
              </w:rPr>
            </w:pPr>
            <w:r w:rsidRPr="00AD7188">
              <w:rPr>
                <w:sz w:val="22"/>
                <w:szCs w:val="22"/>
              </w:rPr>
              <w:t>You</w:t>
            </w:r>
            <w:r w:rsidRPr="00AD7188">
              <w:rPr>
                <w:rFonts w:hint="cs"/>
                <w:sz w:val="22"/>
                <w:szCs w:val="22"/>
              </w:rPr>
              <w:t xml:space="preserve"> </w:t>
            </w:r>
            <w:r w:rsidRPr="00AD7188">
              <w:rPr>
                <w:sz w:val="22"/>
                <w:szCs w:val="22"/>
              </w:rPr>
              <w:t>should, however,</w:t>
            </w:r>
            <w:r w:rsidRPr="00AD7188">
              <w:rPr>
                <w:rFonts w:hint="cs"/>
                <w:sz w:val="22"/>
                <w:szCs w:val="22"/>
              </w:rPr>
              <w:t xml:space="preserve"> </w:t>
            </w:r>
            <w:r w:rsidRPr="00AD7188">
              <w:rPr>
                <w:sz w:val="22"/>
                <w:szCs w:val="22"/>
              </w:rPr>
              <w:t xml:space="preserve">continue to </w:t>
            </w:r>
            <w:r w:rsidRPr="00AD7188">
              <w:rPr>
                <w:rFonts w:hint="cs"/>
                <w:sz w:val="22"/>
                <w:szCs w:val="22"/>
              </w:rPr>
              <w:t>review hybrid member contributions</w:t>
            </w:r>
            <w:r w:rsidRPr="00AD7188">
              <w:rPr>
                <w:sz w:val="22"/>
                <w:szCs w:val="22"/>
              </w:rPr>
              <w:t xml:space="preserve"> remitted to </w:t>
            </w:r>
            <w:proofErr w:type="spellStart"/>
            <w:r w:rsidRPr="00AD7188">
              <w:rPr>
                <w:sz w:val="22"/>
                <w:szCs w:val="22"/>
              </w:rPr>
              <w:t>MissionSquare</w:t>
            </w:r>
            <w:proofErr w:type="spellEnd"/>
            <w:r w:rsidRPr="00AD7188">
              <w:rPr>
                <w:sz w:val="22"/>
                <w:szCs w:val="22"/>
              </w:rPr>
              <w:t xml:space="preserve"> Retirement</w:t>
            </w:r>
            <w:r w:rsidRPr="00AD7188">
              <w:rPr>
                <w:rFonts w:hint="cs"/>
                <w:sz w:val="22"/>
                <w:szCs w:val="22"/>
              </w:rPr>
              <w:t xml:space="preserve"> each pay period to ensure that the percentages withheld are</w:t>
            </w:r>
            <w:r w:rsidRPr="00AD7188">
              <w:rPr>
                <w:sz w:val="22"/>
                <w:szCs w:val="22"/>
              </w:rPr>
              <w:t xml:space="preserve"> a</w:t>
            </w:r>
            <w:r w:rsidRPr="00AD7188">
              <w:rPr>
                <w:rFonts w:hint="cs"/>
                <w:sz w:val="22"/>
                <w:szCs w:val="22"/>
              </w:rPr>
              <w:t>ccurate</w:t>
            </w:r>
            <w:r w:rsidRPr="00AD7188">
              <w:rPr>
                <w:sz w:val="22"/>
                <w:szCs w:val="22"/>
              </w:rPr>
              <w:t xml:space="preserve"> and i</w:t>
            </w:r>
            <w:r w:rsidRPr="00AD7188">
              <w:rPr>
                <w:rFonts w:hint="cs"/>
                <w:sz w:val="22"/>
                <w:szCs w:val="22"/>
              </w:rPr>
              <w:t xml:space="preserve">nclude the mandatory 1% from the employee, along with any </w:t>
            </w:r>
            <w:r w:rsidRPr="00AD7188">
              <w:rPr>
                <w:sz w:val="22"/>
                <w:szCs w:val="22"/>
              </w:rPr>
              <w:t xml:space="preserve">employee </w:t>
            </w:r>
            <w:r w:rsidRPr="00AD7188">
              <w:rPr>
                <w:rFonts w:hint="cs"/>
                <w:sz w:val="22"/>
                <w:szCs w:val="22"/>
              </w:rPr>
              <w:t xml:space="preserve">voluntary </w:t>
            </w:r>
            <w:r w:rsidRPr="00AD7188">
              <w:rPr>
                <w:sz w:val="22"/>
                <w:szCs w:val="22"/>
              </w:rPr>
              <w:t>and employer-matching</w:t>
            </w:r>
            <w:r w:rsidRPr="00AD7188">
              <w:rPr>
                <w:rFonts w:hint="cs"/>
                <w:sz w:val="22"/>
                <w:szCs w:val="22"/>
              </w:rPr>
              <w:t xml:space="preserve"> contributions. </w:t>
            </w:r>
          </w:p>
        </w:tc>
      </w:tr>
    </w:tbl>
    <w:p w14:paraId="78984C16" w14:textId="77777777" w:rsidR="00DF2DA5" w:rsidRDefault="00DF2DA5" w:rsidP="00DF2DA5">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DF2DA5" w:rsidRPr="00AD7188" w14:paraId="55D01B0E" w14:textId="77777777" w:rsidTr="003D2194">
        <w:trPr>
          <w:cantSplit/>
        </w:trPr>
        <w:tc>
          <w:tcPr>
            <w:tcW w:w="1728" w:type="dxa"/>
          </w:tcPr>
          <w:p w14:paraId="35100734" w14:textId="77777777" w:rsidR="00DF2DA5" w:rsidRPr="00AD7188" w:rsidRDefault="00DF2DA5" w:rsidP="00DF2DA5">
            <w:pPr>
              <w:rPr>
                <w:b/>
                <w:bCs/>
                <w:color w:val="262626"/>
                <w:sz w:val="22"/>
                <w:szCs w:val="22"/>
                <w:shd w:val="clear" w:color="auto" w:fill="FFFFFF"/>
              </w:rPr>
            </w:pPr>
            <w:bookmarkStart w:id="1" w:name="_Hlk162964360"/>
            <w:r w:rsidRPr="00AD7188">
              <w:rPr>
                <w:b/>
                <w:bCs/>
                <w:color w:val="262626"/>
                <w:sz w:val="22"/>
                <w:szCs w:val="22"/>
                <w:shd w:val="clear" w:color="auto" w:fill="FFFFFF"/>
              </w:rPr>
              <w:t>What Resources Are Available?</w:t>
            </w:r>
          </w:p>
          <w:p w14:paraId="4D327294" w14:textId="77777777" w:rsidR="00DF2DA5" w:rsidRPr="00AD7188" w:rsidRDefault="00DF2DA5" w:rsidP="003D2194">
            <w:pPr>
              <w:rPr>
                <w:b/>
                <w:sz w:val="22"/>
                <w:szCs w:val="22"/>
              </w:rPr>
            </w:pPr>
          </w:p>
        </w:tc>
        <w:tc>
          <w:tcPr>
            <w:tcW w:w="8640" w:type="dxa"/>
          </w:tcPr>
          <w:p w14:paraId="33414731" w14:textId="77777777" w:rsidR="00DF2DA5" w:rsidRPr="00AD7188" w:rsidRDefault="00DF2DA5" w:rsidP="00DF2DA5">
            <w:pPr>
              <w:rPr>
                <w:color w:val="262626"/>
                <w:sz w:val="22"/>
                <w:szCs w:val="22"/>
              </w:rPr>
            </w:pPr>
            <w:r w:rsidRPr="00AD7188">
              <w:rPr>
                <w:color w:val="262626"/>
                <w:sz w:val="22"/>
                <w:szCs w:val="22"/>
                <w:shd w:val="clear" w:color="auto" w:fill="FFFFFF"/>
              </w:rPr>
              <w:t xml:space="preserve">Once you confirm your January, </w:t>
            </w:r>
            <w:proofErr w:type="gramStart"/>
            <w:r w:rsidRPr="00AD7188">
              <w:rPr>
                <w:color w:val="262626"/>
                <w:sz w:val="22"/>
                <w:szCs w:val="22"/>
                <w:shd w:val="clear" w:color="auto" w:fill="FFFFFF"/>
              </w:rPr>
              <w:t>February</w:t>
            </w:r>
            <w:proofErr w:type="gramEnd"/>
            <w:r w:rsidRPr="00AD7188">
              <w:rPr>
                <w:color w:val="262626"/>
                <w:sz w:val="22"/>
                <w:szCs w:val="22"/>
                <w:shd w:val="clear" w:color="auto" w:fill="FFFFFF"/>
              </w:rPr>
              <w:t xml:space="preserve"> and March snapshots in </w:t>
            </w:r>
            <w:proofErr w:type="spellStart"/>
            <w:r w:rsidRPr="00AD7188">
              <w:rPr>
                <w:sz w:val="22"/>
                <w:szCs w:val="22"/>
                <w:shd w:val="clear" w:color="auto" w:fill="FFFFFF"/>
              </w:rPr>
              <w:t>myVRS</w:t>
            </w:r>
            <w:proofErr w:type="spellEnd"/>
            <w:r w:rsidRPr="00AD7188">
              <w:rPr>
                <w:sz w:val="22"/>
                <w:szCs w:val="22"/>
                <w:shd w:val="clear" w:color="auto" w:fill="FFFFFF"/>
              </w:rPr>
              <w:t xml:space="preserve"> Navigator</w:t>
            </w:r>
            <w:r w:rsidRPr="00AD7188">
              <w:rPr>
                <w:color w:val="262626"/>
                <w:sz w:val="22"/>
                <w:szCs w:val="22"/>
                <w:shd w:val="clear" w:color="auto" w:fill="FFFFFF"/>
              </w:rPr>
              <w:t xml:space="preserve">, VRS will provide before-and-after comparison files to show the defined benefit contributions separated from the defined contribution component for hybrid plan members. </w:t>
            </w:r>
            <w:r w:rsidRPr="00AD7188">
              <w:rPr>
                <w:color w:val="262626"/>
                <w:sz w:val="22"/>
                <w:szCs w:val="22"/>
              </w:rPr>
              <w:t>The example reports are based on employer contribution rates currently in effect versus July 1 rates.</w:t>
            </w:r>
          </w:p>
          <w:p w14:paraId="6A54E0C4" w14:textId="77777777" w:rsidR="00DF2DA5" w:rsidRPr="00532CDF" w:rsidRDefault="00DF2DA5" w:rsidP="00DF2DA5">
            <w:pPr>
              <w:rPr>
                <w:sz w:val="16"/>
                <w:szCs w:val="16"/>
              </w:rPr>
            </w:pPr>
          </w:p>
          <w:p w14:paraId="553FA15C" w14:textId="77777777" w:rsidR="00DF2DA5" w:rsidRPr="00AD7188" w:rsidRDefault="00DF2DA5" w:rsidP="00DF2DA5">
            <w:pPr>
              <w:pStyle w:val="NormalWeb"/>
              <w:shd w:val="clear" w:color="auto" w:fill="FFFFFF"/>
              <w:spacing w:before="0" w:beforeAutospacing="0" w:after="0" w:afterAutospacing="0"/>
              <w:rPr>
                <w:rFonts w:ascii="Times New Roman" w:hAnsi="Times New Roman"/>
                <w:color w:val="262626"/>
                <w:sz w:val="22"/>
                <w:szCs w:val="22"/>
              </w:rPr>
            </w:pPr>
            <w:r w:rsidRPr="00AD7188">
              <w:rPr>
                <w:rFonts w:ascii="Times New Roman" w:hAnsi="Times New Roman"/>
                <w:color w:val="262626"/>
                <w:sz w:val="22"/>
                <w:szCs w:val="22"/>
              </w:rPr>
              <w:t>Refer to the </w:t>
            </w:r>
            <w:hyperlink r:id="rId10" w:history="1">
              <w:r w:rsidRPr="00AD7188">
                <w:rPr>
                  <w:rStyle w:val="Hyperlink"/>
                  <w:rFonts w:ascii="Times New Roman" w:hAnsi="Times New Roman"/>
                  <w:sz w:val="22"/>
                  <w:szCs w:val="22"/>
                </w:rPr>
                <w:t>Snapshot Comparison Report job aid</w:t>
              </w:r>
            </w:hyperlink>
            <w:r w:rsidRPr="00AD7188">
              <w:rPr>
                <w:rFonts w:ascii="Times New Roman" w:hAnsi="Times New Roman"/>
                <w:color w:val="262626"/>
                <w:sz w:val="22"/>
                <w:szCs w:val="22"/>
              </w:rPr>
              <w:t xml:space="preserve"> (login required) for tips on how to interpret your monthly comparison report. </w:t>
            </w:r>
          </w:p>
          <w:p w14:paraId="051E1E51" w14:textId="77777777" w:rsidR="00DF2DA5" w:rsidRPr="00532CDF" w:rsidRDefault="00DF2DA5" w:rsidP="00DF2DA5">
            <w:pPr>
              <w:pStyle w:val="NormalWeb"/>
              <w:shd w:val="clear" w:color="auto" w:fill="FFFFFF"/>
              <w:spacing w:before="0" w:beforeAutospacing="0" w:after="0" w:afterAutospacing="0"/>
              <w:rPr>
                <w:rFonts w:ascii="Times New Roman" w:hAnsi="Times New Roman"/>
                <w:color w:val="262626"/>
                <w:sz w:val="16"/>
                <w:szCs w:val="16"/>
              </w:rPr>
            </w:pPr>
          </w:p>
          <w:p w14:paraId="6F7DBF5F" w14:textId="77777777" w:rsidR="00DF2DA5" w:rsidRPr="00AD7188" w:rsidRDefault="00DF2DA5" w:rsidP="00DF2DA5">
            <w:pPr>
              <w:pStyle w:val="NormalWeb"/>
              <w:shd w:val="clear" w:color="auto" w:fill="FFFFFF"/>
              <w:spacing w:before="0" w:beforeAutospacing="0" w:after="0" w:afterAutospacing="0"/>
              <w:rPr>
                <w:rFonts w:ascii="Times New Roman" w:hAnsi="Times New Roman"/>
                <w:color w:val="262626"/>
                <w:sz w:val="22"/>
                <w:szCs w:val="22"/>
              </w:rPr>
            </w:pPr>
            <w:r w:rsidRPr="00AD7188">
              <w:rPr>
                <w:rFonts w:ascii="Times New Roman" w:hAnsi="Times New Roman"/>
                <w:color w:val="262626"/>
                <w:sz w:val="22"/>
                <w:szCs w:val="22"/>
              </w:rPr>
              <w:t xml:space="preserve">Register for an </w:t>
            </w:r>
            <w:hyperlink r:id="rId11" w:history="1">
              <w:r w:rsidRPr="00AD7188">
                <w:rPr>
                  <w:rStyle w:val="Hyperlink"/>
                  <w:rFonts w:ascii="Times New Roman" w:hAnsi="Times New Roman"/>
                  <w:sz w:val="22"/>
                  <w:szCs w:val="22"/>
                </w:rPr>
                <w:t>Employer Help Session</w:t>
              </w:r>
            </w:hyperlink>
            <w:r w:rsidRPr="00AD7188">
              <w:rPr>
                <w:rFonts w:ascii="Times New Roman" w:hAnsi="Times New Roman"/>
                <w:color w:val="262626"/>
                <w:sz w:val="22"/>
                <w:szCs w:val="22"/>
              </w:rPr>
              <w:t>. Get direct assistance from VRS team members as you work with the Snapshot Comparison Reports.</w:t>
            </w:r>
          </w:p>
          <w:p w14:paraId="46239752" w14:textId="77777777" w:rsidR="00DF2DA5" w:rsidRPr="00AD7188" w:rsidRDefault="00DF2DA5" w:rsidP="00DF2DA5">
            <w:pPr>
              <w:pStyle w:val="NormalWeb"/>
              <w:shd w:val="clear" w:color="auto" w:fill="FFFFFF"/>
              <w:spacing w:before="0" w:beforeAutospacing="0" w:after="0" w:afterAutospacing="0"/>
              <w:rPr>
                <w:rFonts w:ascii="Times New Roman" w:hAnsi="Times New Roman"/>
                <w:color w:val="262626"/>
                <w:sz w:val="22"/>
                <w:szCs w:val="22"/>
              </w:rPr>
            </w:pPr>
          </w:p>
          <w:p w14:paraId="5A464BA0" w14:textId="451A51A5" w:rsidR="00DF2DA5" w:rsidRPr="00AD7188" w:rsidRDefault="00DF2DA5" w:rsidP="00AD7188">
            <w:pPr>
              <w:pStyle w:val="NormalWeb"/>
              <w:shd w:val="clear" w:color="auto" w:fill="FFFFFF"/>
              <w:spacing w:before="0" w:beforeAutospacing="0" w:after="0" w:afterAutospacing="0"/>
              <w:rPr>
                <w:rFonts w:ascii="Times New Roman" w:hAnsi="Times New Roman"/>
                <w:sz w:val="22"/>
                <w:szCs w:val="22"/>
              </w:rPr>
            </w:pPr>
            <w:r w:rsidRPr="00AD7188">
              <w:rPr>
                <w:rFonts w:ascii="Times New Roman" w:hAnsi="Times New Roman"/>
                <w:color w:val="262626"/>
                <w:sz w:val="22"/>
                <w:szCs w:val="22"/>
              </w:rPr>
              <w:t xml:space="preserve">Visit the </w:t>
            </w:r>
            <w:hyperlink r:id="rId12" w:history="1">
              <w:r w:rsidRPr="00AD7188">
                <w:rPr>
                  <w:rStyle w:val="Hyperlink"/>
                  <w:rFonts w:ascii="Times New Roman" w:hAnsi="Times New Roman"/>
                  <w:sz w:val="22"/>
                  <w:szCs w:val="22"/>
                </w:rPr>
                <w:t>hybrid rate separation webpage</w:t>
              </w:r>
            </w:hyperlink>
            <w:r w:rsidRPr="00AD7188">
              <w:rPr>
                <w:rFonts w:ascii="Times New Roman" w:hAnsi="Times New Roman"/>
                <w:color w:val="262626"/>
                <w:sz w:val="22"/>
                <w:szCs w:val="22"/>
              </w:rPr>
              <w:t xml:space="preserve"> for additional background.</w:t>
            </w:r>
          </w:p>
        </w:tc>
      </w:tr>
    </w:tbl>
    <w:p w14:paraId="2BAAD170" w14:textId="77777777" w:rsidR="00DF2DA5" w:rsidRDefault="00DF2DA5" w:rsidP="00DF2DA5">
      <w:pPr>
        <w:pStyle w:val="BlockLine"/>
        <w:spacing w:before="120"/>
        <w:ind w:left="1350"/>
        <w:rPr>
          <w:sz w:val="22"/>
          <w:szCs w:val="22"/>
        </w:rPr>
      </w:pPr>
    </w:p>
    <w:p w14:paraId="4AA4E753" w14:textId="409E549F" w:rsidR="007B6DF7" w:rsidRPr="002E6F1F" w:rsidRDefault="007B6DF7" w:rsidP="007B6DF7">
      <w:pPr>
        <w:pStyle w:val="Heading4"/>
        <w:spacing w:after="0"/>
        <w:rPr>
          <w:rFonts w:ascii="Times New Roman" w:hAnsi="Times New Roman"/>
          <w:b/>
          <w:sz w:val="28"/>
          <w:szCs w:val="28"/>
        </w:rPr>
      </w:pPr>
      <w:r>
        <w:rPr>
          <w:rFonts w:ascii="Times New Roman" w:hAnsi="Times New Roman"/>
          <w:b/>
          <w:sz w:val="28"/>
          <w:szCs w:val="28"/>
        </w:rPr>
        <w:lastRenderedPageBreak/>
        <w:t xml:space="preserve">VRS Rate Separation, </w:t>
      </w:r>
      <w:r w:rsidRPr="007B6DF7">
        <w:rPr>
          <w:rFonts w:ascii="Times New Roman" w:hAnsi="Times New Roman"/>
          <w:b/>
          <w:szCs w:val="24"/>
        </w:rPr>
        <w:t>cont.</w:t>
      </w:r>
    </w:p>
    <w:p w14:paraId="334B4600" w14:textId="77777777" w:rsidR="007B6DF7" w:rsidRPr="002E6F1F" w:rsidRDefault="007B6DF7" w:rsidP="007B6DF7">
      <w:pPr>
        <w:pStyle w:val="BlockLine"/>
        <w:spacing w:before="120"/>
        <w:ind w:left="1350"/>
        <w:rPr>
          <w:sz w:val="18"/>
          <w:szCs w:val="18"/>
        </w:rPr>
      </w:pPr>
    </w:p>
    <w:tbl>
      <w:tblPr>
        <w:tblW w:w="10368" w:type="dxa"/>
        <w:tblLayout w:type="fixed"/>
        <w:tblLook w:val="0000" w:firstRow="0" w:lastRow="0" w:firstColumn="0" w:lastColumn="0" w:noHBand="0" w:noVBand="0"/>
      </w:tblPr>
      <w:tblGrid>
        <w:gridCol w:w="1728"/>
        <w:gridCol w:w="8640"/>
      </w:tblGrid>
      <w:tr w:rsidR="00DF2DA5" w:rsidRPr="00AD7188" w14:paraId="07D914E0" w14:textId="77777777" w:rsidTr="003D2194">
        <w:trPr>
          <w:cantSplit/>
        </w:trPr>
        <w:tc>
          <w:tcPr>
            <w:tcW w:w="1728" w:type="dxa"/>
          </w:tcPr>
          <w:bookmarkEnd w:id="1"/>
          <w:p w14:paraId="60D9EB11" w14:textId="77777777" w:rsidR="00DF2DA5" w:rsidRPr="00AD7188" w:rsidRDefault="00DF2DA5" w:rsidP="00DF2DA5">
            <w:pPr>
              <w:rPr>
                <w:b/>
                <w:bCs/>
                <w:sz w:val="22"/>
                <w:szCs w:val="22"/>
              </w:rPr>
            </w:pPr>
            <w:r w:rsidRPr="00AD7188">
              <w:rPr>
                <w:b/>
                <w:bCs/>
                <w:sz w:val="22"/>
                <w:szCs w:val="22"/>
              </w:rPr>
              <w:t>How Can You Prepare for July 1?</w:t>
            </w:r>
          </w:p>
          <w:p w14:paraId="5CDF4EBF" w14:textId="77777777" w:rsidR="00DF2DA5" w:rsidRPr="00AD7188" w:rsidRDefault="00DF2DA5" w:rsidP="003D2194">
            <w:pPr>
              <w:rPr>
                <w:b/>
                <w:sz w:val="22"/>
                <w:szCs w:val="22"/>
              </w:rPr>
            </w:pPr>
          </w:p>
        </w:tc>
        <w:tc>
          <w:tcPr>
            <w:tcW w:w="8640" w:type="dxa"/>
          </w:tcPr>
          <w:p w14:paraId="7CF913B5" w14:textId="77777777" w:rsidR="00DF2DA5" w:rsidRPr="00AD7188" w:rsidRDefault="00DF2DA5" w:rsidP="00DF2DA5">
            <w:pPr>
              <w:rPr>
                <w:sz w:val="22"/>
                <w:szCs w:val="22"/>
              </w:rPr>
            </w:pPr>
            <w:r w:rsidRPr="00AD7188">
              <w:rPr>
                <w:sz w:val="22"/>
                <w:szCs w:val="22"/>
              </w:rPr>
              <w:t xml:space="preserve">If you have payment reconciliation issues appearing in your monthly snapshot, address those now. Strive to stay current with reconciliations leading up to rate separation. VRS’ Defined Contributions Plan unit is currently emailing employers with unresolved reconciliation issues to help identify and clear accounts. </w:t>
            </w:r>
          </w:p>
          <w:p w14:paraId="7A75F1D3" w14:textId="77777777" w:rsidR="00DF2DA5" w:rsidRPr="00AD7188" w:rsidRDefault="00DF2DA5" w:rsidP="00DF2DA5">
            <w:pPr>
              <w:rPr>
                <w:sz w:val="22"/>
                <w:szCs w:val="22"/>
              </w:rPr>
            </w:pPr>
          </w:p>
          <w:p w14:paraId="19CB1B39" w14:textId="77777777" w:rsidR="00DF2DA5" w:rsidRPr="00AD7188" w:rsidRDefault="00DF2DA5" w:rsidP="00DF2DA5">
            <w:pPr>
              <w:rPr>
                <w:sz w:val="22"/>
                <w:szCs w:val="22"/>
              </w:rPr>
            </w:pPr>
            <w:r w:rsidRPr="00AD7188">
              <w:rPr>
                <w:sz w:val="22"/>
                <w:szCs w:val="22"/>
              </w:rPr>
              <w:t xml:space="preserve">After July 1, you will continue to reconcile the </w:t>
            </w:r>
            <w:r w:rsidRPr="00AD7188">
              <w:rPr>
                <w:b/>
                <w:bCs/>
                <w:sz w:val="22"/>
                <w:szCs w:val="22"/>
              </w:rPr>
              <w:t>defined benefit</w:t>
            </w:r>
            <w:r w:rsidRPr="00AD7188">
              <w:rPr>
                <w:sz w:val="22"/>
                <w:szCs w:val="22"/>
              </w:rPr>
              <w:t xml:space="preserve"> amounts withheld from employees’ paychecks to the amounts on the VRS monthly snapshot through the automated reconciliation process.</w:t>
            </w:r>
          </w:p>
          <w:p w14:paraId="1FE01F05" w14:textId="77777777" w:rsidR="00DF2DA5" w:rsidRPr="00AD7188" w:rsidRDefault="00DF2DA5" w:rsidP="00DF2DA5">
            <w:pPr>
              <w:rPr>
                <w:sz w:val="22"/>
                <w:szCs w:val="22"/>
              </w:rPr>
            </w:pPr>
          </w:p>
          <w:p w14:paraId="6C9AC088" w14:textId="16848A77" w:rsidR="00DF2DA5" w:rsidRPr="00AD7188" w:rsidRDefault="00DF2DA5" w:rsidP="00DF2DA5">
            <w:pPr>
              <w:rPr>
                <w:sz w:val="22"/>
                <w:szCs w:val="22"/>
              </w:rPr>
            </w:pPr>
            <w:r w:rsidRPr="00AD7188">
              <w:rPr>
                <w:sz w:val="22"/>
                <w:szCs w:val="22"/>
              </w:rPr>
              <w:t xml:space="preserve">You will reconcile the </w:t>
            </w:r>
            <w:r w:rsidRPr="00AD7188">
              <w:rPr>
                <w:b/>
                <w:bCs/>
                <w:sz w:val="22"/>
                <w:szCs w:val="22"/>
              </w:rPr>
              <w:t>defined contribution</w:t>
            </w:r>
            <w:r w:rsidRPr="00AD7188">
              <w:rPr>
                <w:sz w:val="22"/>
                <w:szCs w:val="22"/>
              </w:rPr>
              <w:t xml:space="preserve"> amounts withheld from employees’ paychecks to the amounts remitted to </w:t>
            </w:r>
            <w:proofErr w:type="spellStart"/>
            <w:r w:rsidRPr="00AD7188">
              <w:rPr>
                <w:sz w:val="22"/>
                <w:szCs w:val="22"/>
              </w:rPr>
              <w:t>MissionSquare</w:t>
            </w:r>
            <w:proofErr w:type="spellEnd"/>
            <w:r w:rsidRPr="00AD7188">
              <w:rPr>
                <w:sz w:val="22"/>
                <w:szCs w:val="22"/>
              </w:rPr>
              <w:t xml:space="preserve"> Retirement each pay period. Contact employer support at </w:t>
            </w:r>
            <w:proofErr w:type="spellStart"/>
            <w:r w:rsidRPr="00AD7188">
              <w:rPr>
                <w:sz w:val="22"/>
                <w:szCs w:val="22"/>
              </w:rPr>
              <w:t>MissionSquare</w:t>
            </w:r>
            <w:proofErr w:type="spellEnd"/>
            <w:r w:rsidRPr="00AD7188">
              <w:rPr>
                <w:sz w:val="22"/>
                <w:szCs w:val="22"/>
              </w:rPr>
              <w:t xml:space="preserve"> Retirement to request a Source Detail Report, which will provide a detailed breakdown of amounts remitted by plan, individual member, and source for a specified period to match against payroll.</w:t>
            </w:r>
          </w:p>
        </w:tc>
      </w:tr>
    </w:tbl>
    <w:p w14:paraId="2E028568" w14:textId="77777777" w:rsidR="00DF2DA5" w:rsidRPr="00AD7188" w:rsidRDefault="00DF2DA5" w:rsidP="00DF2DA5">
      <w:pPr>
        <w:pStyle w:val="BlockLine"/>
        <w:spacing w:before="120"/>
        <w:ind w:left="1350"/>
        <w:rPr>
          <w:sz w:val="22"/>
          <w:szCs w:val="22"/>
        </w:rPr>
      </w:pPr>
    </w:p>
    <w:tbl>
      <w:tblPr>
        <w:tblW w:w="10368" w:type="dxa"/>
        <w:tblLayout w:type="fixed"/>
        <w:tblLook w:val="0000" w:firstRow="0" w:lastRow="0" w:firstColumn="0" w:lastColumn="0" w:noHBand="0" w:noVBand="0"/>
      </w:tblPr>
      <w:tblGrid>
        <w:gridCol w:w="1728"/>
        <w:gridCol w:w="8640"/>
      </w:tblGrid>
      <w:tr w:rsidR="00DF2DA5" w:rsidRPr="00AD7188" w14:paraId="19BB29DC" w14:textId="77777777" w:rsidTr="00EA1FC4">
        <w:trPr>
          <w:cantSplit/>
          <w:trHeight w:val="1458"/>
        </w:trPr>
        <w:tc>
          <w:tcPr>
            <w:tcW w:w="1728" w:type="dxa"/>
          </w:tcPr>
          <w:p w14:paraId="372ABDE1" w14:textId="23597720" w:rsidR="00DF2DA5" w:rsidRPr="00AD7188" w:rsidRDefault="00DF2DA5" w:rsidP="003D2194">
            <w:pPr>
              <w:pStyle w:val="Heading5"/>
              <w:rPr>
                <w:szCs w:val="22"/>
              </w:rPr>
            </w:pPr>
            <w:r w:rsidRPr="00AD7188">
              <w:rPr>
                <w:bCs/>
                <w:szCs w:val="22"/>
              </w:rPr>
              <w:t>What Are the Long-Term Benefits?</w:t>
            </w:r>
          </w:p>
        </w:tc>
        <w:tc>
          <w:tcPr>
            <w:tcW w:w="8640" w:type="dxa"/>
          </w:tcPr>
          <w:p w14:paraId="6F3FC3A3" w14:textId="77777777" w:rsidR="00DF2DA5" w:rsidRPr="00AD7188" w:rsidRDefault="00DF2DA5" w:rsidP="00DF2DA5">
            <w:pPr>
              <w:rPr>
                <w:sz w:val="22"/>
                <w:szCs w:val="22"/>
              </w:rPr>
            </w:pPr>
            <w:r w:rsidRPr="00AD7188">
              <w:rPr>
                <w:sz w:val="22"/>
                <w:szCs w:val="22"/>
              </w:rPr>
              <w:t>Separating the employer defined benefit and defined contribution rates will:</w:t>
            </w:r>
          </w:p>
          <w:p w14:paraId="7C413906" w14:textId="77777777" w:rsidR="00DF2DA5" w:rsidRPr="00AD7188" w:rsidRDefault="00DF2DA5" w:rsidP="00DF2DA5">
            <w:pPr>
              <w:pStyle w:val="ListParagraph"/>
              <w:numPr>
                <w:ilvl w:val="0"/>
                <w:numId w:val="35"/>
              </w:numPr>
              <w:spacing w:after="160" w:line="259" w:lineRule="auto"/>
              <w:contextualSpacing/>
              <w:rPr>
                <w:sz w:val="22"/>
                <w:szCs w:val="22"/>
              </w:rPr>
            </w:pPr>
            <w:r w:rsidRPr="00AD7188">
              <w:rPr>
                <w:sz w:val="22"/>
                <w:szCs w:val="22"/>
              </w:rPr>
              <w:t>Streamline the contribution workflow into defined benefit and defined contribution channels.</w:t>
            </w:r>
          </w:p>
          <w:p w14:paraId="44F8D975" w14:textId="41B17B7D" w:rsidR="00DF2DA5" w:rsidRPr="00AD7188" w:rsidRDefault="00DF2DA5" w:rsidP="00DF2DA5">
            <w:pPr>
              <w:pStyle w:val="ListParagraph"/>
              <w:numPr>
                <w:ilvl w:val="0"/>
                <w:numId w:val="35"/>
              </w:numPr>
              <w:spacing w:after="160" w:line="259" w:lineRule="auto"/>
              <w:contextualSpacing/>
              <w:rPr>
                <w:sz w:val="22"/>
                <w:szCs w:val="22"/>
              </w:rPr>
            </w:pPr>
            <w:r w:rsidRPr="00AD7188">
              <w:rPr>
                <w:sz w:val="22"/>
                <w:szCs w:val="22"/>
              </w:rPr>
              <w:t>Ease reconciliations for overpayments and underpayments of hybrid member contributions.</w:t>
            </w:r>
          </w:p>
        </w:tc>
      </w:tr>
    </w:tbl>
    <w:p w14:paraId="3C4193EB" w14:textId="77777777" w:rsidR="00DF2DA5" w:rsidRDefault="00DF2DA5" w:rsidP="00DF2DA5">
      <w:pPr>
        <w:pStyle w:val="BlockLine"/>
        <w:spacing w:before="120"/>
        <w:ind w:left="1350"/>
        <w:rPr>
          <w:sz w:val="16"/>
          <w:szCs w:val="16"/>
        </w:rPr>
      </w:pPr>
    </w:p>
    <w:p w14:paraId="7499E0E7" w14:textId="5C1EAEA9" w:rsidR="00ED1D0A" w:rsidRPr="002E6F1F" w:rsidRDefault="00CD107E" w:rsidP="00B83731">
      <w:pPr>
        <w:pStyle w:val="Heading4"/>
        <w:spacing w:after="0"/>
        <w:rPr>
          <w:rFonts w:ascii="Times New Roman" w:hAnsi="Times New Roman"/>
          <w:b/>
          <w:sz w:val="28"/>
          <w:szCs w:val="28"/>
        </w:rPr>
      </w:pPr>
      <w:r>
        <w:rPr>
          <w:rFonts w:ascii="Times New Roman" w:hAnsi="Times New Roman"/>
          <w:b/>
          <w:sz w:val="28"/>
          <w:szCs w:val="28"/>
        </w:rPr>
        <w:t xml:space="preserve">Cardinal HCM </w:t>
      </w:r>
      <w:r w:rsidR="00251D41">
        <w:rPr>
          <w:rFonts w:ascii="Times New Roman" w:hAnsi="Times New Roman"/>
          <w:b/>
          <w:sz w:val="28"/>
          <w:szCs w:val="28"/>
        </w:rPr>
        <w:t>Processing</w:t>
      </w:r>
    </w:p>
    <w:p w14:paraId="4E55F3EE" w14:textId="77777777" w:rsidR="00B83731" w:rsidRPr="002E6F1F" w:rsidRDefault="00B83731" w:rsidP="00233280">
      <w:pPr>
        <w:pStyle w:val="BlockLine"/>
        <w:spacing w:before="120"/>
        <w:ind w:left="1350"/>
        <w:rPr>
          <w:sz w:val="18"/>
          <w:szCs w:val="18"/>
        </w:rPr>
      </w:pPr>
    </w:p>
    <w:tbl>
      <w:tblPr>
        <w:tblW w:w="10368" w:type="dxa"/>
        <w:tblLayout w:type="fixed"/>
        <w:tblLook w:val="0000" w:firstRow="0" w:lastRow="0" w:firstColumn="0" w:lastColumn="0" w:noHBand="0" w:noVBand="0"/>
      </w:tblPr>
      <w:tblGrid>
        <w:gridCol w:w="1728"/>
        <w:gridCol w:w="8640"/>
      </w:tblGrid>
      <w:tr w:rsidR="00F8774C" w14:paraId="67012519" w14:textId="77777777" w:rsidTr="00D83103">
        <w:trPr>
          <w:cantSplit/>
        </w:trPr>
        <w:tc>
          <w:tcPr>
            <w:tcW w:w="1728" w:type="dxa"/>
          </w:tcPr>
          <w:p w14:paraId="527BCE99" w14:textId="100CB944" w:rsidR="004940FC" w:rsidRPr="004940FC" w:rsidRDefault="00507AAB" w:rsidP="004940FC">
            <w:pPr>
              <w:pStyle w:val="Heading5"/>
            </w:pPr>
            <w:bookmarkStart w:id="2" w:name="_Hlk162964428"/>
            <w:r>
              <w:t>Agency Authorizations</w:t>
            </w:r>
          </w:p>
        </w:tc>
        <w:tc>
          <w:tcPr>
            <w:tcW w:w="8640" w:type="dxa"/>
          </w:tcPr>
          <w:p w14:paraId="21AC3886" w14:textId="63C07CB2" w:rsidR="00BD7489" w:rsidRPr="0055430B" w:rsidRDefault="00396B80" w:rsidP="00BD7489">
            <w:pPr>
              <w:pStyle w:val="Extmemo"/>
              <w:jc w:val="both"/>
              <w:rPr>
                <w:rFonts w:ascii="Times New Roman" w:hAnsi="Times New Roman"/>
                <w:sz w:val="22"/>
                <w:szCs w:val="22"/>
              </w:rPr>
            </w:pPr>
            <w:r>
              <w:rPr>
                <w:rFonts w:ascii="Times New Roman" w:hAnsi="Times New Roman"/>
                <w:sz w:val="22"/>
                <w:szCs w:val="22"/>
              </w:rPr>
              <w:t xml:space="preserve">All documents required to certify payroll-related expenditures must be approved by the agency fiscal officer or their designated proxy.  This includes </w:t>
            </w:r>
            <w:r w:rsidR="005F7ED2">
              <w:rPr>
                <w:rFonts w:ascii="Times New Roman" w:hAnsi="Times New Roman"/>
                <w:sz w:val="22"/>
                <w:szCs w:val="22"/>
              </w:rPr>
              <w:t xml:space="preserve">but is not limited to </w:t>
            </w:r>
            <w:r>
              <w:rPr>
                <w:rFonts w:ascii="Times New Roman" w:hAnsi="Times New Roman"/>
                <w:sz w:val="22"/>
                <w:szCs w:val="22"/>
              </w:rPr>
              <w:t xml:space="preserve">payroll certifications, quarterly certifications, calendar-year certification, stop payments, </w:t>
            </w:r>
            <w:r w:rsidR="005F7ED2">
              <w:rPr>
                <w:rFonts w:ascii="Times New Roman" w:hAnsi="Times New Roman"/>
                <w:sz w:val="22"/>
                <w:szCs w:val="22"/>
              </w:rPr>
              <w:t xml:space="preserve">off-cycle requests, and </w:t>
            </w:r>
            <w:r>
              <w:rPr>
                <w:rFonts w:ascii="Times New Roman" w:hAnsi="Times New Roman"/>
                <w:sz w:val="22"/>
                <w:szCs w:val="22"/>
              </w:rPr>
              <w:t>healthcare reconciliations</w:t>
            </w:r>
            <w:r w:rsidR="005F7ED2">
              <w:rPr>
                <w:rFonts w:ascii="Times New Roman" w:hAnsi="Times New Roman"/>
                <w:sz w:val="22"/>
                <w:szCs w:val="22"/>
              </w:rPr>
              <w:t>.</w:t>
            </w:r>
          </w:p>
        </w:tc>
      </w:tr>
    </w:tbl>
    <w:p w14:paraId="31F927AB" w14:textId="77777777" w:rsidR="00F8774C" w:rsidRDefault="00F8774C" w:rsidP="00233280">
      <w:pPr>
        <w:pStyle w:val="BlockLine"/>
        <w:spacing w:before="120"/>
        <w:ind w:left="1350"/>
        <w:rPr>
          <w:sz w:val="16"/>
          <w:szCs w:val="16"/>
        </w:rPr>
      </w:pPr>
      <w:bookmarkStart w:id="3" w:name="_Hlk158549126"/>
    </w:p>
    <w:tbl>
      <w:tblPr>
        <w:tblW w:w="10368" w:type="dxa"/>
        <w:tblLayout w:type="fixed"/>
        <w:tblLook w:val="0000" w:firstRow="0" w:lastRow="0" w:firstColumn="0" w:lastColumn="0" w:noHBand="0" w:noVBand="0"/>
      </w:tblPr>
      <w:tblGrid>
        <w:gridCol w:w="1728"/>
        <w:gridCol w:w="8640"/>
      </w:tblGrid>
      <w:tr w:rsidR="00507AAB" w14:paraId="19DF57DA" w14:textId="77777777" w:rsidTr="003D2194">
        <w:trPr>
          <w:cantSplit/>
        </w:trPr>
        <w:tc>
          <w:tcPr>
            <w:tcW w:w="1728" w:type="dxa"/>
          </w:tcPr>
          <w:p w14:paraId="40137458" w14:textId="6E5606CB" w:rsidR="00507AAB" w:rsidRPr="004940FC" w:rsidRDefault="00F21D1A" w:rsidP="003D2194">
            <w:pPr>
              <w:pStyle w:val="Heading5"/>
            </w:pPr>
            <w:r>
              <w:t>Moving a</w:t>
            </w:r>
            <w:r w:rsidR="00507AAB">
              <w:t xml:space="preserve"> Payment </w:t>
            </w:r>
            <w:r>
              <w:t xml:space="preserve">from Check </w:t>
            </w:r>
            <w:r w:rsidR="00507AAB">
              <w:t>0 into a Separate Check</w:t>
            </w:r>
          </w:p>
        </w:tc>
        <w:tc>
          <w:tcPr>
            <w:tcW w:w="8640" w:type="dxa"/>
          </w:tcPr>
          <w:p w14:paraId="4563336D" w14:textId="77777777" w:rsidR="00507AAB" w:rsidRDefault="00507AAB" w:rsidP="003D2194">
            <w:pPr>
              <w:pStyle w:val="Extmemo"/>
              <w:jc w:val="both"/>
              <w:rPr>
                <w:rFonts w:ascii="Times New Roman" w:hAnsi="Times New Roman"/>
                <w:sz w:val="22"/>
                <w:szCs w:val="22"/>
              </w:rPr>
            </w:pPr>
            <w:r>
              <w:rPr>
                <w:rFonts w:ascii="Times New Roman" w:hAnsi="Times New Roman"/>
                <w:sz w:val="22"/>
                <w:szCs w:val="22"/>
              </w:rPr>
              <w:t>Errors impacting the payroll confirmations have recently been experienced when agencies reverse the original earnings transaction and add it back in a separate check.  This especially occurs when the earnings transaction is a bonus that spans multiple pay periods.</w:t>
            </w:r>
          </w:p>
          <w:p w14:paraId="09B8C62D" w14:textId="77777777" w:rsidR="00507AAB" w:rsidRDefault="00507AAB" w:rsidP="003D2194">
            <w:pPr>
              <w:pStyle w:val="Extmemo"/>
              <w:jc w:val="both"/>
              <w:rPr>
                <w:rFonts w:ascii="Times New Roman" w:hAnsi="Times New Roman"/>
                <w:sz w:val="22"/>
                <w:szCs w:val="22"/>
              </w:rPr>
            </w:pPr>
          </w:p>
          <w:p w14:paraId="10975D34" w14:textId="77777777" w:rsidR="00507AAB" w:rsidRPr="0055430B" w:rsidRDefault="00507AAB" w:rsidP="003D2194">
            <w:pPr>
              <w:pStyle w:val="Extmemo"/>
              <w:jc w:val="both"/>
              <w:rPr>
                <w:rFonts w:ascii="Times New Roman" w:hAnsi="Times New Roman"/>
                <w:sz w:val="22"/>
                <w:szCs w:val="22"/>
              </w:rPr>
            </w:pPr>
            <w:r>
              <w:rPr>
                <w:rFonts w:ascii="Times New Roman" w:hAnsi="Times New Roman"/>
                <w:sz w:val="22"/>
                <w:szCs w:val="22"/>
              </w:rPr>
              <w:t xml:space="preserve">Please follow the following process if you need to remove an earnings transaction from the primary pay record (check 0) and add it as a separate check (check 1, etc.).  Submit an Update Paysheet request to turn off the OK to Pay on that </w:t>
            </w:r>
            <w:proofErr w:type="gramStart"/>
            <w:r>
              <w:rPr>
                <w:rFonts w:ascii="Times New Roman" w:hAnsi="Times New Roman"/>
                <w:sz w:val="22"/>
                <w:szCs w:val="22"/>
              </w:rPr>
              <w:t>particular earnings code</w:t>
            </w:r>
            <w:proofErr w:type="gramEnd"/>
            <w:r>
              <w:rPr>
                <w:rFonts w:ascii="Times New Roman" w:hAnsi="Times New Roman"/>
                <w:sz w:val="22"/>
                <w:szCs w:val="22"/>
              </w:rPr>
              <w:t xml:space="preserve"> in check 0.  Enter a new spot to add the earnings in a separate check.</w:t>
            </w:r>
          </w:p>
        </w:tc>
      </w:tr>
    </w:tbl>
    <w:p w14:paraId="283A165F" w14:textId="77777777" w:rsidR="00507AAB" w:rsidRDefault="00507AAB" w:rsidP="00507AAB">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251D41" w:rsidRPr="00251D41" w14:paraId="2329F1F5" w14:textId="77777777" w:rsidTr="00E84395">
        <w:trPr>
          <w:cantSplit/>
        </w:trPr>
        <w:tc>
          <w:tcPr>
            <w:tcW w:w="1728" w:type="dxa"/>
          </w:tcPr>
          <w:bookmarkEnd w:id="3"/>
          <w:bookmarkEnd w:id="2"/>
          <w:p w14:paraId="07959C51" w14:textId="77777777" w:rsidR="00251D41" w:rsidRDefault="006E60EB" w:rsidP="00251D41">
            <w:pPr>
              <w:rPr>
                <w:b/>
                <w:sz w:val="22"/>
                <w:szCs w:val="22"/>
              </w:rPr>
            </w:pPr>
            <w:r w:rsidRPr="006E60EB">
              <w:rPr>
                <w:b/>
                <w:sz w:val="22"/>
                <w:szCs w:val="22"/>
              </w:rPr>
              <w:t>Off Cycle Request Form</w:t>
            </w:r>
          </w:p>
          <w:p w14:paraId="07834C36" w14:textId="4DFD47EB" w:rsidR="00C40831" w:rsidRPr="006E60EB" w:rsidRDefault="00C40831" w:rsidP="00251D41">
            <w:pPr>
              <w:rPr>
                <w:b/>
                <w:sz w:val="22"/>
                <w:szCs w:val="22"/>
              </w:rPr>
            </w:pPr>
            <w:r>
              <w:rPr>
                <w:b/>
                <w:sz w:val="22"/>
                <w:szCs w:val="22"/>
              </w:rPr>
              <w:t>(PY-SW-004)</w:t>
            </w:r>
          </w:p>
        </w:tc>
        <w:tc>
          <w:tcPr>
            <w:tcW w:w="8640" w:type="dxa"/>
          </w:tcPr>
          <w:p w14:paraId="60792915" w14:textId="162BDBBD" w:rsidR="008D10A7" w:rsidRPr="006E60EB" w:rsidRDefault="008D10A7" w:rsidP="008D10A7">
            <w:pPr>
              <w:rPr>
                <w:sz w:val="22"/>
                <w:szCs w:val="22"/>
              </w:rPr>
            </w:pPr>
            <w:r w:rsidRPr="006E60EB">
              <w:rPr>
                <w:sz w:val="22"/>
                <w:szCs w:val="22"/>
                <w14:ligatures w14:val="standardContextual"/>
              </w:rPr>
              <w:t xml:space="preserve"> </w:t>
            </w:r>
            <w:r w:rsidR="006E60EB" w:rsidRPr="006E60EB">
              <w:rPr>
                <w:sz w:val="22"/>
                <w:szCs w:val="22"/>
                <w14:ligatures w14:val="standardContextual"/>
              </w:rPr>
              <w:t>The Off-Cycle Paysheet Request Form has been modified and the new version has been placed on the Cardinal website for use effective immediately</w:t>
            </w:r>
            <w:r w:rsidR="006E60EB">
              <w:rPr>
                <w:sz w:val="22"/>
                <w:szCs w:val="22"/>
                <w14:ligatures w14:val="standardContextual"/>
              </w:rPr>
              <w:t xml:space="preserve">.  Please note that the Approver must now </w:t>
            </w:r>
            <w:r w:rsidR="002E2E16">
              <w:rPr>
                <w:sz w:val="22"/>
                <w:szCs w:val="22"/>
                <w14:ligatures w14:val="standardContextual"/>
              </w:rPr>
              <w:t xml:space="preserve">confirm that the request represents an amount due to the employee where delayed receipt will result in a hardship for the employee.  CAPP Topic 50530 provides the DOA policy regarding off-cycle payments and will be updated to include more specific information about what does and does not qualify as a hardship.  Please note that the 10% of net/gross requirement for an off-cycle payment has always been DOA’s policy but has not always been strictly enforced.  Individual circumstances may also present a hardship and will be taken into consideration when the </w:t>
            </w:r>
            <w:proofErr w:type="gramStart"/>
            <w:r w:rsidR="002E2E16">
              <w:rPr>
                <w:sz w:val="22"/>
                <w:szCs w:val="22"/>
                <w14:ligatures w14:val="standardContextual"/>
              </w:rPr>
              <w:t>off-cycle</w:t>
            </w:r>
            <w:proofErr w:type="gramEnd"/>
            <w:r w:rsidR="002E2E16">
              <w:rPr>
                <w:sz w:val="22"/>
                <w:szCs w:val="22"/>
                <w14:ligatures w14:val="standardContextual"/>
              </w:rPr>
              <w:t xml:space="preserve"> is requested.</w:t>
            </w:r>
          </w:p>
        </w:tc>
      </w:tr>
    </w:tbl>
    <w:p w14:paraId="434B7F23" w14:textId="5D943AB5" w:rsidR="002967F4" w:rsidRPr="00753C08" w:rsidRDefault="00753C08" w:rsidP="00753C08">
      <w:pPr>
        <w:pStyle w:val="BlockLine"/>
        <w:spacing w:before="120"/>
        <w:ind w:left="1350"/>
        <w:jc w:val="right"/>
        <w:rPr>
          <w:i/>
          <w:iCs/>
          <w:sz w:val="16"/>
          <w:szCs w:val="16"/>
        </w:rPr>
      </w:pPr>
      <w:proofErr w:type="gramStart"/>
      <w:r>
        <w:rPr>
          <w:i/>
          <w:iCs/>
          <w:sz w:val="16"/>
          <w:szCs w:val="16"/>
        </w:rPr>
        <w:t>Continued on</w:t>
      </w:r>
      <w:proofErr w:type="gramEnd"/>
      <w:r>
        <w:rPr>
          <w:i/>
          <w:iCs/>
          <w:sz w:val="16"/>
          <w:szCs w:val="16"/>
        </w:rPr>
        <w:t xml:space="preserve"> the following page</w:t>
      </w:r>
    </w:p>
    <w:p w14:paraId="3161337F" w14:textId="77777777" w:rsidR="00E0142B" w:rsidRDefault="00E0142B">
      <w:pPr>
        <w:rPr>
          <w:b/>
          <w:sz w:val="28"/>
          <w:szCs w:val="28"/>
        </w:rPr>
      </w:pPr>
      <w:r>
        <w:rPr>
          <w:b/>
          <w:sz w:val="28"/>
          <w:szCs w:val="28"/>
        </w:rPr>
        <w:br w:type="page"/>
      </w:r>
    </w:p>
    <w:p w14:paraId="1AC11830" w14:textId="74BD30BD" w:rsidR="00E0142B" w:rsidRPr="002E6F1F" w:rsidRDefault="00E0142B" w:rsidP="00E0142B">
      <w:pPr>
        <w:pStyle w:val="Heading4"/>
        <w:spacing w:after="0"/>
        <w:rPr>
          <w:rFonts w:ascii="Times New Roman" w:hAnsi="Times New Roman"/>
          <w:b/>
          <w:sz w:val="28"/>
          <w:szCs w:val="28"/>
        </w:rPr>
      </w:pPr>
      <w:r>
        <w:rPr>
          <w:rFonts w:ascii="Times New Roman" w:hAnsi="Times New Roman"/>
          <w:b/>
          <w:sz w:val="28"/>
          <w:szCs w:val="28"/>
        </w:rPr>
        <w:lastRenderedPageBreak/>
        <w:t xml:space="preserve">Cardinal HCM Processing, </w:t>
      </w:r>
      <w:r w:rsidRPr="00E0142B">
        <w:rPr>
          <w:rFonts w:ascii="Times New Roman" w:hAnsi="Times New Roman"/>
          <w:b/>
          <w:szCs w:val="24"/>
        </w:rPr>
        <w:t>cont</w:t>
      </w:r>
      <w:r>
        <w:rPr>
          <w:rFonts w:ascii="Times New Roman" w:hAnsi="Times New Roman"/>
          <w:b/>
          <w:szCs w:val="24"/>
        </w:rPr>
        <w:t>.</w:t>
      </w:r>
    </w:p>
    <w:p w14:paraId="7CC9B3EA" w14:textId="77777777" w:rsidR="00E0142B" w:rsidRDefault="00E0142B" w:rsidP="00E0142B">
      <w:pPr>
        <w:pStyle w:val="BlockLine"/>
        <w:spacing w:before="120"/>
        <w:ind w:left="1350"/>
        <w:rPr>
          <w:sz w:val="18"/>
          <w:szCs w:val="18"/>
        </w:rPr>
      </w:pPr>
    </w:p>
    <w:tbl>
      <w:tblPr>
        <w:tblW w:w="10368" w:type="dxa"/>
        <w:tblLayout w:type="fixed"/>
        <w:tblLook w:val="0000" w:firstRow="0" w:lastRow="0" w:firstColumn="0" w:lastColumn="0" w:noHBand="0" w:noVBand="0"/>
      </w:tblPr>
      <w:tblGrid>
        <w:gridCol w:w="1728"/>
        <w:gridCol w:w="8640"/>
      </w:tblGrid>
      <w:tr w:rsidR="00E0142B" w:rsidRPr="00251D41" w14:paraId="1B50FEBD" w14:textId="77777777" w:rsidTr="003D2194">
        <w:trPr>
          <w:cantSplit/>
        </w:trPr>
        <w:tc>
          <w:tcPr>
            <w:tcW w:w="1728" w:type="dxa"/>
          </w:tcPr>
          <w:p w14:paraId="0803AC6D" w14:textId="77777777" w:rsidR="00E0142B" w:rsidRPr="006E60EB" w:rsidRDefault="00E0142B" w:rsidP="003D2194">
            <w:pPr>
              <w:rPr>
                <w:b/>
                <w:sz w:val="22"/>
                <w:szCs w:val="22"/>
              </w:rPr>
            </w:pPr>
            <w:r>
              <w:rPr>
                <w:b/>
                <w:sz w:val="22"/>
                <w:szCs w:val="22"/>
              </w:rPr>
              <w:t>General Deduction Mass Upload Template</w:t>
            </w:r>
          </w:p>
        </w:tc>
        <w:tc>
          <w:tcPr>
            <w:tcW w:w="8640" w:type="dxa"/>
          </w:tcPr>
          <w:p w14:paraId="0FFA95C9" w14:textId="77777777" w:rsidR="00E0142B" w:rsidRPr="006E60EB" w:rsidRDefault="00E0142B" w:rsidP="003D2194">
            <w:pPr>
              <w:rPr>
                <w:sz w:val="22"/>
                <w:szCs w:val="22"/>
              </w:rPr>
            </w:pPr>
            <w:r>
              <w:rPr>
                <w:sz w:val="22"/>
                <w:szCs w:val="22"/>
              </w:rPr>
              <w:t>This form and the directions for use have been updated to simplify and more accurately reflect how this form should be completed.  Please see PY362_General Deduction Mass Upload Template on the Cardinal HCM Templates page for more information.</w:t>
            </w:r>
          </w:p>
        </w:tc>
      </w:tr>
    </w:tbl>
    <w:p w14:paraId="0D494D6A" w14:textId="77777777" w:rsidR="00E0142B" w:rsidRDefault="00E0142B" w:rsidP="00E0142B">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3C1D2F" w:rsidRPr="00251D41" w14:paraId="78358D76" w14:textId="77777777" w:rsidTr="003D2194">
        <w:trPr>
          <w:cantSplit/>
        </w:trPr>
        <w:tc>
          <w:tcPr>
            <w:tcW w:w="1728" w:type="dxa"/>
          </w:tcPr>
          <w:p w14:paraId="10358C56" w14:textId="210DEFE3" w:rsidR="003C1D2F" w:rsidRPr="006E60EB" w:rsidRDefault="003C1D2F" w:rsidP="003D2194">
            <w:pPr>
              <w:rPr>
                <w:b/>
                <w:sz w:val="22"/>
                <w:szCs w:val="22"/>
              </w:rPr>
            </w:pPr>
            <w:r>
              <w:rPr>
                <w:b/>
                <w:sz w:val="22"/>
                <w:szCs w:val="22"/>
              </w:rPr>
              <w:t>PA Taxable Wages</w:t>
            </w:r>
          </w:p>
        </w:tc>
        <w:tc>
          <w:tcPr>
            <w:tcW w:w="8640" w:type="dxa"/>
          </w:tcPr>
          <w:p w14:paraId="715580A7" w14:textId="3538F61A" w:rsidR="003C1D2F" w:rsidRPr="006E60EB" w:rsidRDefault="003C1D2F" w:rsidP="003D2194">
            <w:pPr>
              <w:rPr>
                <w:sz w:val="22"/>
                <w:szCs w:val="22"/>
              </w:rPr>
            </w:pPr>
            <w:r>
              <w:rPr>
                <w:sz w:val="22"/>
                <w:szCs w:val="22"/>
              </w:rPr>
              <w:t>Pennsylvania recently enacted a change in the way Flexible Spending Account Dependent Care is treated in terms of state/local taxable wages.  This deduction is now exempt from Pennsylvania state and local withholding.  Cardinal HCM has been updated to reflect this change which is retroactive to January 1, 2023.</w:t>
            </w:r>
          </w:p>
        </w:tc>
      </w:tr>
    </w:tbl>
    <w:p w14:paraId="3980DF61" w14:textId="77777777" w:rsidR="003C1D2F" w:rsidRDefault="003C1D2F" w:rsidP="003C1D2F">
      <w:pPr>
        <w:pStyle w:val="BlockLine"/>
        <w:spacing w:before="120"/>
        <w:ind w:left="1350"/>
        <w:rPr>
          <w:sz w:val="16"/>
          <w:szCs w:val="16"/>
        </w:rPr>
      </w:pPr>
    </w:p>
    <w:p w14:paraId="3E008EB9" w14:textId="149BD2F2" w:rsidR="002967F4" w:rsidRPr="002E6F1F" w:rsidRDefault="002967F4" w:rsidP="002967F4">
      <w:pPr>
        <w:pStyle w:val="Heading4"/>
        <w:spacing w:after="0"/>
        <w:rPr>
          <w:rFonts w:ascii="Times New Roman" w:hAnsi="Times New Roman"/>
          <w:b/>
          <w:sz w:val="28"/>
          <w:szCs w:val="28"/>
        </w:rPr>
      </w:pPr>
      <w:bookmarkStart w:id="4" w:name="_Hlk158551668"/>
      <w:r>
        <w:rPr>
          <w:rFonts w:ascii="Times New Roman" w:hAnsi="Times New Roman"/>
          <w:b/>
          <w:sz w:val="28"/>
          <w:szCs w:val="28"/>
        </w:rPr>
        <w:t>Cardinal HCM Reports and Data Queries</w:t>
      </w:r>
      <w:bookmarkEnd w:id="4"/>
    </w:p>
    <w:p w14:paraId="367018CA" w14:textId="77777777" w:rsidR="002967F4" w:rsidRDefault="002967F4" w:rsidP="002967F4">
      <w:pPr>
        <w:pStyle w:val="BlockLine"/>
        <w:spacing w:before="120"/>
        <w:ind w:left="1350"/>
        <w:rPr>
          <w:sz w:val="18"/>
          <w:szCs w:val="18"/>
        </w:rPr>
      </w:pPr>
    </w:p>
    <w:tbl>
      <w:tblPr>
        <w:tblW w:w="9990" w:type="dxa"/>
        <w:tblInd w:w="-10" w:type="dxa"/>
        <w:tblCellMar>
          <w:left w:w="0" w:type="dxa"/>
          <w:right w:w="0" w:type="dxa"/>
        </w:tblCellMar>
        <w:tblLook w:val="04A0" w:firstRow="1" w:lastRow="0" w:firstColumn="1" w:lastColumn="0" w:noHBand="0" w:noVBand="1"/>
      </w:tblPr>
      <w:tblGrid>
        <w:gridCol w:w="2700"/>
        <w:gridCol w:w="7290"/>
      </w:tblGrid>
      <w:tr w:rsidR="00A10AAF" w:rsidRPr="00B92B4C" w14:paraId="07163FEB" w14:textId="77777777" w:rsidTr="00A10AAF">
        <w:trPr>
          <w:trHeight w:val="2205"/>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F0A5D9" w14:textId="77777777" w:rsidR="00A10AAF" w:rsidRPr="00B92B4C" w:rsidRDefault="00A10AAF" w:rsidP="00B92B4C">
            <w:pPr>
              <w:rPr>
                <w:rFonts w:eastAsia="Calibri"/>
                <w:color w:val="000000"/>
                <w:sz w:val="22"/>
                <w:szCs w:val="22"/>
              </w:rPr>
            </w:pPr>
            <w:r w:rsidRPr="00B92B4C">
              <w:rPr>
                <w:rFonts w:eastAsia="Calibri"/>
                <w:color w:val="000000"/>
                <w:sz w:val="22"/>
                <w:szCs w:val="22"/>
              </w:rPr>
              <w:t>COVA Deduction Register (RPY146)</w:t>
            </w:r>
          </w:p>
        </w:tc>
        <w:tc>
          <w:tcPr>
            <w:tcW w:w="7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7604C" w14:textId="67B3521C" w:rsidR="00A10AAF" w:rsidRPr="00B92B4C" w:rsidRDefault="00A10AAF" w:rsidP="00B92B4C">
            <w:pPr>
              <w:rPr>
                <w:rFonts w:eastAsia="Calibri"/>
                <w:color w:val="000000"/>
                <w:sz w:val="22"/>
                <w:szCs w:val="22"/>
              </w:rPr>
            </w:pPr>
            <w:r w:rsidRPr="002E7157">
              <w:rPr>
                <w:rFonts w:eastAsia="Calibri"/>
                <w:color w:val="000000"/>
                <w:sz w:val="22"/>
                <w:szCs w:val="22"/>
              </w:rPr>
              <w:t xml:space="preserve">Added a CSV option </w:t>
            </w:r>
            <w:r w:rsidR="00E86B22" w:rsidRPr="002E7157">
              <w:rPr>
                <w:rFonts w:eastAsia="Calibri"/>
                <w:color w:val="000000"/>
                <w:sz w:val="22"/>
                <w:szCs w:val="22"/>
              </w:rPr>
              <w:t>on the Run Control page for t</w:t>
            </w:r>
            <w:r w:rsidRPr="00B92B4C">
              <w:rPr>
                <w:rFonts w:eastAsia="Calibri"/>
                <w:color w:val="000000"/>
                <w:sz w:val="22"/>
                <w:szCs w:val="22"/>
              </w:rPr>
              <w:t>his Deduction Register Report</w:t>
            </w:r>
            <w:r w:rsidR="00E86B22" w:rsidRPr="002E7157">
              <w:rPr>
                <w:rFonts w:eastAsia="Calibri"/>
                <w:color w:val="000000"/>
                <w:sz w:val="22"/>
                <w:szCs w:val="22"/>
              </w:rPr>
              <w:t>.  L</w:t>
            </w:r>
            <w:r w:rsidRPr="00B92B4C">
              <w:rPr>
                <w:rFonts w:eastAsia="Calibri"/>
                <w:color w:val="000000"/>
                <w:sz w:val="22"/>
                <w:szCs w:val="22"/>
              </w:rPr>
              <w:t>ists employees who have any deductions and nontaxable amounts subtracted from their pay.  If the current deduction contains adjustments or refunds, amounts paid in arrears or amounts excluded, the report lists them in separate columns and provides column totals.   This register lists the amount of money deducted from each employee's paycheck for general deductions, garnishments, and benefits, including taxes, as of the end of a pay period.  It can be run by Company.</w:t>
            </w:r>
          </w:p>
        </w:tc>
      </w:tr>
      <w:tr w:rsidR="00A10AAF" w:rsidRPr="00B92B4C" w14:paraId="67A64F52" w14:textId="77777777" w:rsidTr="00A10AAF">
        <w:trPr>
          <w:trHeight w:val="1096"/>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EDAF5" w14:textId="77777777" w:rsidR="00A10AAF" w:rsidRPr="00B92B4C" w:rsidRDefault="00A10AAF" w:rsidP="00B92B4C">
            <w:pPr>
              <w:rPr>
                <w:rFonts w:eastAsia="Calibri"/>
                <w:color w:val="000000"/>
                <w:sz w:val="22"/>
                <w:szCs w:val="22"/>
              </w:rPr>
            </w:pPr>
            <w:r w:rsidRPr="00B92B4C">
              <w:rPr>
                <w:rFonts w:eastAsia="Calibri"/>
                <w:color w:val="000000"/>
                <w:sz w:val="22"/>
                <w:szCs w:val="22"/>
              </w:rPr>
              <w:t>W2 Count Report (RPY541)</w:t>
            </w:r>
          </w:p>
        </w:tc>
        <w:tc>
          <w:tcPr>
            <w:tcW w:w="7290" w:type="dxa"/>
            <w:tcBorders>
              <w:top w:val="nil"/>
              <w:left w:val="nil"/>
              <w:bottom w:val="single" w:sz="8" w:space="0" w:color="auto"/>
              <w:right w:val="single" w:sz="8" w:space="0" w:color="auto"/>
            </w:tcBorders>
            <w:tcMar>
              <w:top w:w="0" w:type="dxa"/>
              <w:left w:w="108" w:type="dxa"/>
              <w:bottom w:w="0" w:type="dxa"/>
              <w:right w:w="108" w:type="dxa"/>
            </w:tcMar>
            <w:hideMark/>
          </w:tcPr>
          <w:p w14:paraId="68217C31" w14:textId="552717A5" w:rsidR="00A10AAF" w:rsidRPr="00B92B4C" w:rsidRDefault="00A10AAF" w:rsidP="00B92B4C">
            <w:pPr>
              <w:rPr>
                <w:rFonts w:eastAsia="Calibri"/>
                <w:color w:val="000000"/>
                <w:sz w:val="22"/>
                <w:szCs w:val="22"/>
              </w:rPr>
            </w:pPr>
            <w:r w:rsidRPr="00B92B4C">
              <w:rPr>
                <w:rFonts w:eastAsia="Calibri"/>
                <w:color w:val="000000"/>
                <w:sz w:val="22"/>
                <w:szCs w:val="22"/>
              </w:rPr>
              <w:t>This report lists W2 counts by agency, employee type and state (VA and Non-VA)</w:t>
            </w:r>
            <w:r w:rsidRPr="002E7157">
              <w:rPr>
                <w:rFonts w:eastAsia="Calibri"/>
                <w:color w:val="000000"/>
                <w:sz w:val="22"/>
                <w:szCs w:val="22"/>
              </w:rPr>
              <w:t xml:space="preserve"> for a specified calendar year</w:t>
            </w:r>
            <w:r w:rsidRPr="00B92B4C">
              <w:rPr>
                <w:rFonts w:eastAsia="Calibri"/>
                <w:color w:val="000000"/>
                <w:sz w:val="22"/>
                <w:szCs w:val="22"/>
              </w:rPr>
              <w:t>.  If the detail option is selected, the report will list the employee information for each employee included in the counts by employee type.</w:t>
            </w:r>
          </w:p>
        </w:tc>
      </w:tr>
      <w:tr w:rsidR="00A10AAF" w:rsidRPr="00B92B4C" w14:paraId="1D8B8DA5" w14:textId="77777777" w:rsidTr="00A10AAF">
        <w:trPr>
          <w:trHeight w:val="1744"/>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DEFBA" w14:textId="77777777" w:rsidR="00A10AAF" w:rsidRPr="00B92B4C" w:rsidRDefault="00A10AAF" w:rsidP="00B92B4C">
            <w:pPr>
              <w:rPr>
                <w:rFonts w:eastAsia="Calibri"/>
                <w:color w:val="000000"/>
                <w:sz w:val="22"/>
                <w:szCs w:val="22"/>
              </w:rPr>
            </w:pPr>
            <w:r w:rsidRPr="00B92B4C">
              <w:rPr>
                <w:rFonts w:eastAsia="Calibri"/>
                <w:color w:val="000000"/>
                <w:sz w:val="22"/>
                <w:szCs w:val="22"/>
              </w:rPr>
              <w:t>New Tax Location code query</w:t>
            </w:r>
          </w:p>
        </w:tc>
        <w:tc>
          <w:tcPr>
            <w:tcW w:w="7290" w:type="dxa"/>
            <w:tcBorders>
              <w:top w:val="nil"/>
              <w:left w:val="nil"/>
              <w:bottom w:val="single" w:sz="8" w:space="0" w:color="auto"/>
              <w:right w:val="single" w:sz="8" w:space="0" w:color="auto"/>
            </w:tcBorders>
            <w:tcMar>
              <w:top w:w="0" w:type="dxa"/>
              <w:left w:w="108" w:type="dxa"/>
              <w:bottom w:w="0" w:type="dxa"/>
              <w:right w:w="108" w:type="dxa"/>
            </w:tcMar>
            <w:hideMark/>
          </w:tcPr>
          <w:p w14:paraId="24A3088B" w14:textId="34C235C4" w:rsidR="00A10AAF" w:rsidRPr="00B92B4C" w:rsidRDefault="00A10AAF" w:rsidP="00B92B4C">
            <w:pPr>
              <w:rPr>
                <w:rFonts w:eastAsia="Calibri"/>
                <w:color w:val="000000"/>
                <w:sz w:val="22"/>
                <w:szCs w:val="22"/>
              </w:rPr>
            </w:pPr>
            <w:r w:rsidRPr="00B92B4C">
              <w:rPr>
                <w:rFonts w:eastAsia="Calibri"/>
                <w:color w:val="000000"/>
                <w:sz w:val="22"/>
                <w:szCs w:val="22"/>
              </w:rPr>
              <w:t>New query (RPY546) V_PY_TAX_LOCATION_RECON.  This query list</w:t>
            </w:r>
            <w:r w:rsidR="00585340" w:rsidRPr="002E7157">
              <w:rPr>
                <w:rFonts w:eastAsia="Calibri"/>
                <w:color w:val="000000"/>
                <w:sz w:val="22"/>
                <w:szCs w:val="22"/>
              </w:rPr>
              <w:t>s</w:t>
            </w:r>
            <w:r w:rsidRPr="00B92B4C">
              <w:rPr>
                <w:rFonts w:eastAsia="Calibri"/>
                <w:color w:val="000000"/>
                <w:sz w:val="22"/>
                <w:szCs w:val="22"/>
              </w:rPr>
              <w:t xml:space="preserve"> discrepancies between the Job Data Tax Location, the UI state on the Tax Data Record and the Tax Distribution record.</w:t>
            </w:r>
            <w:r w:rsidRPr="002E7157">
              <w:rPr>
                <w:rFonts w:eastAsia="Calibri"/>
                <w:color w:val="000000"/>
                <w:sz w:val="22"/>
                <w:szCs w:val="22"/>
              </w:rPr>
              <w:t xml:space="preserve">  </w:t>
            </w:r>
            <w:r w:rsidRPr="00B92B4C">
              <w:rPr>
                <w:rFonts w:eastAsia="Calibri"/>
                <w:color w:val="000000"/>
                <w:sz w:val="22"/>
                <w:szCs w:val="22"/>
              </w:rPr>
              <w:t>The Tax Location Reconciliation Report will be used by agencies to perform monthly reconciliations, ensuring that the tax location code on the job data record matches the UI state on the tax data record and the state on the state distribution record.</w:t>
            </w:r>
          </w:p>
        </w:tc>
      </w:tr>
      <w:tr w:rsidR="00A10AAF" w:rsidRPr="00B92B4C" w14:paraId="701AF979" w14:textId="77777777" w:rsidTr="002E7157">
        <w:trPr>
          <w:trHeight w:val="300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5C1EB" w14:textId="77777777" w:rsidR="00A10AAF" w:rsidRPr="00B92B4C" w:rsidRDefault="00A10AAF" w:rsidP="00B92B4C">
            <w:pPr>
              <w:rPr>
                <w:rFonts w:eastAsia="Calibri"/>
                <w:color w:val="000000"/>
                <w:sz w:val="22"/>
                <w:szCs w:val="22"/>
              </w:rPr>
            </w:pPr>
            <w:r w:rsidRPr="00B92B4C">
              <w:rPr>
                <w:rFonts w:eastAsia="Calibri"/>
                <w:color w:val="000000"/>
                <w:sz w:val="22"/>
                <w:szCs w:val="22"/>
              </w:rPr>
              <w:t>COVA Post Freeze Change Report (RPY545)</w:t>
            </w:r>
          </w:p>
        </w:tc>
        <w:tc>
          <w:tcPr>
            <w:tcW w:w="7290" w:type="dxa"/>
            <w:tcBorders>
              <w:top w:val="nil"/>
              <w:left w:val="nil"/>
              <w:bottom w:val="single" w:sz="8" w:space="0" w:color="auto"/>
              <w:right w:val="single" w:sz="8" w:space="0" w:color="auto"/>
            </w:tcBorders>
            <w:tcMar>
              <w:top w:w="0" w:type="dxa"/>
              <w:left w:w="108" w:type="dxa"/>
              <w:bottom w:w="0" w:type="dxa"/>
              <w:right w:w="108" w:type="dxa"/>
            </w:tcMar>
            <w:hideMark/>
          </w:tcPr>
          <w:p w14:paraId="21843961" w14:textId="77777777" w:rsidR="009F19FC" w:rsidRPr="002E7157" w:rsidRDefault="00A10AAF" w:rsidP="00B92B4C">
            <w:pPr>
              <w:rPr>
                <w:rFonts w:eastAsia="Calibri"/>
                <w:color w:val="000000"/>
                <w:sz w:val="22"/>
                <w:szCs w:val="22"/>
              </w:rPr>
            </w:pPr>
            <w:r w:rsidRPr="00B92B4C">
              <w:rPr>
                <w:rFonts w:eastAsia="Calibri"/>
                <w:color w:val="000000"/>
                <w:sz w:val="22"/>
                <w:szCs w:val="22"/>
              </w:rPr>
              <w:t xml:space="preserve">This report provides a snapshot of the gross pay that is taken immediately after the HR </w:t>
            </w:r>
            <w:r w:rsidR="009F19FC" w:rsidRPr="002E7157">
              <w:rPr>
                <w:rFonts w:eastAsia="Calibri"/>
                <w:color w:val="000000"/>
                <w:sz w:val="22"/>
                <w:szCs w:val="22"/>
              </w:rPr>
              <w:t>D</w:t>
            </w:r>
            <w:r w:rsidRPr="00B92B4C">
              <w:rPr>
                <w:rFonts w:eastAsia="Calibri"/>
                <w:color w:val="000000"/>
                <w:sz w:val="22"/>
                <w:szCs w:val="22"/>
              </w:rPr>
              <w:t>ata Freeze.  It list</w:t>
            </w:r>
            <w:r w:rsidR="009F19FC" w:rsidRPr="002E7157">
              <w:rPr>
                <w:rFonts w:eastAsia="Calibri"/>
                <w:color w:val="000000"/>
                <w:sz w:val="22"/>
                <w:szCs w:val="22"/>
              </w:rPr>
              <w:t>s</w:t>
            </w:r>
            <w:r w:rsidRPr="00B92B4C">
              <w:rPr>
                <w:rFonts w:eastAsia="Calibri"/>
                <w:color w:val="000000"/>
                <w:sz w:val="22"/>
                <w:szCs w:val="22"/>
              </w:rPr>
              <w:t xml:space="preserve"> all changes to gross pay after the Freeze until confirm.  The report list</w:t>
            </w:r>
            <w:r w:rsidR="009F19FC" w:rsidRPr="002E7157">
              <w:rPr>
                <w:rFonts w:eastAsia="Calibri"/>
                <w:color w:val="000000"/>
                <w:sz w:val="22"/>
                <w:szCs w:val="22"/>
              </w:rPr>
              <w:t>s</w:t>
            </w:r>
            <w:r w:rsidRPr="00B92B4C">
              <w:rPr>
                <w:rFonts w:eastAsia="Calibri"/>
                <w:color w:val="000000"/>
                <w:sz w:val="22"/>
                <w:szCs w:val="22"/>
              </w:rPr>
              <w:t xml:space="preserve"> new checks, checks with changes, and removed checks. </w:t>
            </w:r>
          </w:p>
          <w:p w14:paraId="0838D115" w14:textId="06B9D099" w:rsidR="009F19FC" w:rsidRPr="002E7157" w:rsidRDefault="00A10AAF" w:rsidP="00B92B4C">
            <w:pPr>
              <w:rPr>
                <w:rFonts w:eastAsia="Calibri"/>
                <w:color w:val="000000"/>
                <w:sz w:val="22"/>
                <w:szCs w:val="22"/>
              </w:rPr>
            </w:pPr>
            <w:r w:rsidRPr="00B92B4C">
              <w:rPr>
                <w:rFonts w:eastAsia="Calibri"/>
                <w:color w:val="000000"/>
                <w:sz w:val="22"/>
                <w:szCs w:val="22"/>
              </w:rPr>
              <w:t xml:space="preserve">New checks: • New hire (all new hires are loaded with every pay calc) </w:t>
            </w:r>
          </w:p>
          <w:p w14:paraId="74900E83" w14:textId="77777777" w:rsidR="009F19FC" w:rsidRPr="002E7157" w:rsidRDefault="00A10AAF" w:rsidP="00B92B4C">
            <w:pPr>
              <w:rPr>
                <w:rFonts w:eastAsia="Calibri"/>
                <w:color w:val="000000"/>
                <w:sz w:val="22"/>
                <w:szCs w:val="22"/>
              </w:rPr>
            </w:pPr>
            <w:r w:rsidRPr="00B92B4C">
              <w:rPr>
                <w:rFonts w:eastAsia="Calibri"/>
                <w:color w:val="000000"/>
                <w:sz w:val="22"/>
                <w:szCs w:val="22"/>
              </w:rPr>
              <w:t xml:space="preserve">• Corrected payroll errors (employees with payroll errors preventing a check) Changed checks: • SPOT loads (remember a SPOT entry triggers the entire check to be recalculated which may pull in other data changes) • Updates made directly by SPO </w:t>
            </w:r>
          </w:p>
          <w:p w14:paraId="04504662" w14:textId="77777777" w:rsidR="009F19FC" w:rsidRPr="002E7157" w:rsidRDefault="00A10AAF" w:rsidP="00B92B4C">
            <w:pPr>
              <w:rPr>
                <w:rFonts w:eastAsia="Calibri"/>
                <w:color w:val="000000"/>
                <w:sz w:val="22"/>
                <w:szCs w:val="22"/>
              </w:rPr>
            </w:pPr>
            <w:r w:rsidRPr="00B92B4C">
              <w:rPr>
                <w:rFonts w:eastAsia="Calibri"/>
                <w:color w:val="000000"/>
                <w:sz w:val="22"/>
                <w:szCs w:val="22"/>
              </w:rPr>
              <w:t>Removed checks: • Checks turned off by SPO • Check with a payroll error (should be corrected prior to confirm)</w:t>
            </w:r>
          </w:p>
          <w:p w14:paraId="6DA50E1A" w14:textId="1E1AC6FB" w:rsidR="00A10AAF" w:rsidRPr="00B92B4C" w:rsidRDefault="00A10AAF" w:rsidP="00B92B4C">
            <w:pPr>
              <w:rPr>
                <w:rFonts w:eastAsia="Calibri"/>
                <w:color w:val="000000"/>
                <w:sz w:val="22"/>
                <w:szCs w:val="22"/>
              </w:rPr>
            </w:pPr>
            <w:r w:rsidRPr="00B92B4C">
              <w:rPr>
                <w:rFonts w:eastAsia="Calibri"/>
                <w:color w:val="000000"/>
                <w:sz w:val="22"/>
                <w:szCs w:val="22"/>
              </w:rPr>
              <w:t>This report will change as the payroll data is changed up until pay confirmation.  It can be run prior to confirmation to show the ongoing changes since the Freeze, or it can be run after confirmation to show all the changes along with the final total gross.</w:t>
            </w:r>
          </w:p>
        </w:tc>
      </w:tr>
    </w:tbl>
    <w:p w14:paraId="391E7E7A" w14:textId="2ECDF1E1" w:rsidR="005920B7" w:rsidRPr="005920B7" w:rsidRDefault="005920B7" w:rsidP="005920B7">
      <w:pPr>
        <w:pStyle w:val="BlockLine"/>
        <w:spacing w:before="120"/>
        <w:ind w:left="1350"/>
        <w:jc w:val="right"/>
        <w:rPr>
          <w:i/>
          <w:iCs/>
          <w:sz w:val="18"/>
          <w:szCs w:val="18"/>
        </w:rPr>
      </w:pPr>
      <w:proofErr w:type="gramStart"/>
      <w:r>
        <w:rPr>
          <w:i/>
          <w:iCs/>
          <w:sz w:val="18"/>
          <w:szCs w:val="18"/>
        </w:rPr>
        <w:t>Continued on</w:t>
      </w:r>
      <w:proofErr w:type="gramEnd"/>
      <w:r>
        <w:rPr>
          <w:i/>
          <w:iCs/>
          <w:sz w:val="18"/>
          <w:szCs w:val="18"/>
        </w:rPr>
        <w:t xml:space="preserve"> the following page</w:t>
      </w:r>
    </w:p>
    <w:p w14:paraId="0764E2EE" w14:textId="77777777" w:rsidR="005920B7" w:rsidRDefault="005920B7" w:rsidP="005920B7">
      <w:pPr>
        <w:pStyle w:val="Heading4"/>
        <w:spacing w:after="0"/>
        <w:rPr>
          <w:rFonts w:ascii="Times New Roman" w:hAnsi="Times New Roman"/>
          <w:b/>
          <w:sz w:val="28"/>
          <w:szCs w:val="28"/>
        </w:rPr>
      </w:pPr>
    </w:p>
    <w:p w14:paraId="0F4CD320" w14:textId="77777777" w:rsidR="005920B7" w:rsidRDefault="005920B7">
      <w:pPr>
        <w:rPr>
          <w:b/>
          <w:sz w:val="28"/>
          <w:szCs w:val="28"/>
        </w:rPr>
      </w:pPr>
      <w:r>
        <w:rPr>
          <w:b/>
          <w:sz w:val="28"/>
          <w:szCs w:val="28"/>
        </w:rPr>
        <w:br w:type="page"/>
      </w:r>
    </w:p>
    <w:p w14:paraId="48A8321C" w14:textId="0CC8C639" w:rsidR="005920B7" w:rsidRPr="002E6F1F" w:rsidRDefault="005920B7" w:rsidP="005920B7">
      <w:pPr>
        <w:pStyle w:val="Heading4"/>
        <w:spacing w:after="0"/>
        <w:rPr>
          <w:rFonts w:ascii="Times New Roman" w:hAnsi="Times New Roman"/>
          <w:b/>
          <w:sz w:val="28"/>
          <w:szCs w:val="28"/>
        </w:rPr>
      </w:pPr>
      <w:r>
        <w:rPr>
          <w:rFonts w:ascii="Times New Roman" w:hAnsi="Times New Roman"/>
          <w:b/>
          <w:sz w:val="28"/>
          <w:szCs w:val="28"/>
        </w:rPr>
        <w:lastRenderedPageBreak/>
        <w:t xml:space="preserve">Cardinal HCM Reports and Data Queries, </w:t>
      </w:r>
      <w:r w:rsidRPr="005920B7">
        <w:rPr>
          <w:rFonts w:ascii="Times New Roman" w:hAnsi="Times New Roman"/>
          <w:b/>
          <w:szCs w:val="24"/>
        </w:rPr>
        <w:t>cont.</w:t>
      </w:r>
    </w:p>
    <w:p w14:paraId="779726CC" w14:textId="77777777" w:rsidR="005920B7" w:rsidRDefault="005920B7" w:rsidP="005920B7">
      <w:pPr>
        <w:pStyle w:val="BlockLine"/>
        <w:spacing w:before="120"/>
        <w:ind w:left="1350"/>
        <w:rPr>
          <w:sz w:val="18"/>
          <w:szCs w:val="18"/>
        </w:rPr>
      </w:pPr>
    </w:p>
    <w:tbl>
      <w:tblPr>
        <w:tblW w:w="9990" w:type="dxa"/>
        <w:tblInd w:w="-10" w:type="dxa"/>
        <w:tblCellMar>
          <w:left w:w="0" w:type="dxa"/>
          <w:right w:w="0" w:type="dxa"/>
        </w:tblCellMar>
        <w:tblLook w:val="04A0" w:firstRow="1" w:lastRow="0" w:firstColumn="1" w:lastColumn="0" w:noHBand="0" w:noVBand="1"/>
      </w:tblPr>
      <w:tblGrid>
        <w:gridCol w:w="2700"/>
        <w:gridCol w:w="7290"/>
      </w:tblGrid>
      <w:tr w:rsidR="005920B7" w:rsidRPr="00B92B4C" w14:paraId="20E97301" w14:textId="77777777" w:rsidTr="003D2194">
        <w:trPr>
          <w:trHeight w:val="1456"/>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D3FFCB" w14:textId="77777777" w:rsidR="005920B7" w:rsidRPr="00B92B4C" w:rsidRDefault="005920B7" w:rsidP="003D2194">
            <w:pPr>
              <w:rPr>
                <w:rFonts w:eastAsia="Calibri"/>
                <w:color w:val="000000"/>
                <w:sz w:val="22"/>
                <w:szCs w:val="22"/>
              </w:rPr>
            </w:pPr>
            <w:r w:rsidRPr="00B92B4C">
              <w:rPr>
                <w:rFonts w:eastAsia="Calibri"/>
                <w:color w:val="000000"/>
                <w:sz w:val="22"/>
                <w:szCs w:val="22"/>
              </w:rPr>
              <w:t>Primary Paygroup Mismatches Query</w:t>
            </w:r>
          </w:p>
        </w:tc>
        <w:tc>
          <w:tcPr>
            <w:tcW w:w="7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8E942" w14:textId="77777777" w:rsidR="005920B7" w:rsidRPr="00B92B4C" w:rsidRDefault="005920B7" w:rsidP="003D2194">
            <w:pPr>
              <w:rPr>
                <w:rFonts w:eastAsia="Calibri"/>
                <w:color w:val="000000"/>
                <w:sz w:val="22"/>
                <w:szCs w:val="22"/>
              </w:rPr>
            </w:pPr>
            <w:r w:rsidRPr="00B92B4C">
              <w:rPr>
                <w:rFonts w:eastAsia="Calibri"/>
                <w:color w:val="000000"/>
                <w:sz w:val="22"/>
                <w:szCs w:val="22"/>
              </w:rPr>
              <w:t>Paygroup Mismatch Report Query</w:t>
            </w:r>
            <w:r w:rsidRPr="002E7157">
              <w:rPr>
                <w:rFonts w:eastAsia="Calibri"/>
                <w:color w:val="000000"/>
                <w:sz w:val="22"/>
                <w:szCs w:val="22"/>
              </w:rPr>
              <w:t xml:space="preserve">.  </w:t>
            </w:r>
            <w:r w:rsidRPr="00B92B4C">
              <w:rPr>
                <w:rFonts w:eastAsia="Calibri"/>
                <w:color w:val="000000"/>
                <w:sz w:val="22"/>
                <w:szCs w:val="22"/>
              </w:rPr>
              <w:t>Th</w:t>
            </w:r>
            <w:r w:rsidRPr="002E7157">
              <w:rPr>
                <w:rFonts w:eastAsia="Calibri"/>
                <w:color w:val="000000"/>
                <w:sz w:val="22"/>
                <w:szCs w:val="22"/>
              </w:rPr>
              <w:t>is</w:t>
            </w:r>
            <w:r w:rsidRPr="00B92B4C">
              <w:rPr>
                <w:rFonts w:eastAsia="Calibri"/>
                <w:color w:val="000000"/>
                <w:sz w:val="22"/>
                <w:szCs w:val="22"/>
              </w:rPr>
              <w:t xml:space="preserve"> query identif</w:t>
            </w:r>
            <w:r w:rsidRPr="002E7157">
              <w:rPr>
                <w:rFonts w:eastAsia="Calibri"/>
                <w:color w:val="000000"/>
                <w:sz w:val="22"/>
                <w:szCs w:val="22"/>
              </w:rPr>
              <w:t>ies</w:t>
            </w:r>
            <w:r w:rsidRPr="00B92B4C">
              <w:rPr>
                <w:rFonts w:eastAsia="Calibri"/>
                <w:color w:val="000000"/>
                <w:sz w:val="22"/>
                <w:szCs w:val="22"/>
              </w:rPr>
              <w:t xml:space="preserve"> employees with discrepancies between their primary job data paygroup and the payroll options paygroup. This query includes information such as Employee ID, Employee Name, Company, Primary Job Data Paygroup, and Payroll Options Paygroup.</w:t>
            </w:r>
          </w:p>
        </w:tc>
      </w:tr>
      <w:tr w:rsidR="005920B7" w:rsidRPr="00B92B4C" w14:paraId="44DC875F" w14:textId="77777777" w:rsidTr="003D2194">
        <w:trPr>
          <w:trHeight w:val="1456"/>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EDA1BD" w14:textId="77777777" w:rsidR="005920B7" w:rsidRPr="002E7157" w:rsidRDefault="005920B7" w:rsidP="003D2194">
            <w:pPr>
              <w:rPr>
                <w:rFonts w:eastAsia="Calibri"/>
                <w:color w:val="000000"/>
                <w:sz w:val="22"/>
                <w:szCs w:val="22"/>
              </w:rPr>
            </w:pPr>
            <w:r w:rsidRPr="002E7157">
              <w:rPr>
                <w:rStyle w:val="ui-provider"/>
                <w:sz w:val="22"/>
                <w:szCs w:val="22"/>
              </w:rPr>
              <w:t>Deduction Change Amount Report (RPY089)</w:t>
            </w:r>
          </w:p>
        </w:tc>
        <w:tc>
          <w:tcPr>
            <w:tcW w:w="7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62A839" w14:textId="77777777" w:rsidR="005920B7" w:rsidRPr="002E7157" w:rsidRDefault="005920B7" w:rsidP="003D2194">
            <w:pPr>
              <w:rPr>
                <w:rFonts w:eastAsia="Calibri"/>
                <w:color w:val="000000"/>
                <w:sz w:val="22"/>
                <w:szCs w:val="22"/>
              </w:rPr>
            </w:pPr>
            <w:r>
              <w:rPr>
                <w:rFonts w:eastAsia="Calibri"/>
                <w:color w:val="000000"/>
                <w:sz w:val="22"/>
                <w:szCs w:val="22"/>
              </w:rPr>
              <w:t>I</w:t>
            </w:r>
            <w:r>
              <w:rPr>
                <w:rFonts w:eastAsia="Calibri"/>
                <w:color w:val="000000"/>
              </w:rPr>
              <w:t xml:space="preserve">dentifies deductions </w:t>
            </w:r>
            <w:r w:rsidRPr="008A20B9">
              <w:rPr>
                <w:rFonts w:eastAsia="Calibri"/>
                <w:color w:val="000000"/>
                <w:sz w:val="22"/>
                <w:szCs w:val="22"/>
              </w:rPr>
              <w:t>that w</w:t>
            </w:r>
            <w:r>
              <w:rPr>
                <w:rFonts w:eastAsia="Calibri"/>
                <w:color w:val="000000"/>
                <w:sz w:val="22"/>
                <w:szCs w:val="22"/>
              </w:rPr>
              <w:t>e</w:t>
            </w:r>
            <w:r>
              <w:rPr>
                <w:rFonts w:eastAsia="Calibri"/>
                <w:color w:val="000000"/>
              </w:rPr>
              <w:t>re</w:t>
            </w:r>
            <w:r w:rsidRPr="008A20B9">
              <w:rPr>
                <w:rFonts w:eastAsia="Calibri"/>
                <w:color w:val="000000"/>
                <w:sz w:val="22"/>
                <w:szCs w:val="22"/>
              </w:rPr>
              <w:t xml:space="preserve"> on the last paycheck </w:t>
            </w:r>
            <w:r>
              <w:rPr>
                <w:rFonts w:eastAsia="Calibri"/>
                <w:color w:val="000000"/>
                <w:sz w:val="22"/>
                <w:szCs w:val="22"/>
              </w:rPr>
              <w:t>b</w:t>
            </w:r>
            <w:r>
              <w:rPr>
                <w:rFonts w:eastAsia="Calibri"/>
                <w:color w:val="000000"/>
              </w:rPr>
              <w:t xml:space="preserve">ut are not </w:t>
            </w:r>
            <w:r w:rsidRPr="008A20B9">
              <w:rPr>
                <w:rFonts w:eastAsia="Calibri"/>
                <w:color w:val="000000"/>
                <w:sz w:val="22"/>
                <w:szCs w:val="22"/>
              </w:rPr>
              <w:t>on the current paycheck</w:t>
            </w:r>
            <w:r>
              <w:rPr>
                <w:rFonts w:eastAsia="Calibri"/>
                <w:color w:val="000000"/>
                <w:sz w:val="22"/>
                <w:szCs w:val="22"/>
              </w:rPr>
              <w:t xml:space="preserve">.  </w:t>
            </w:r>
            <w:r w:rsidRPr="008A20B9">
              <w:rPr>
                <w:rFonts w:eastAsia="Calibri"/>
                <w:color w:val="000000"/>
                <w:sz w:val="22"/>
                <w:szCs w:val="22"/>
              </w:rPr>
              <w:t>The "current period amount" will show as $0.00. </w:t>
            </w:r>
            <w:r>
              <w:rPr>
                <w:rFonts w:eastAsia="Calibri"/>
                <w:color w:val="000000"/>
                <w:sz w:val="22"/>
                <w:szCs w:val="22"/>
              </w:rPr>
              <w:t xml:space="preserve">  This report may be run in a CSV format by checking the box on the run control page.</w:t>
            </w:r>
          </w:p>
        </w:tc>
      </w:tr>
      <w:tr w:rsidR="00DB1411" w:rsidRPr="00B92B4C" w14:paraId="42C2F027" w14:textId="77777777" w:rsidTr="003D2194">
        <w:trPr>
          <w:trHeight w:val="1456"/>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679343" w14:textId="01161E6B" w:rsidR="00DB1411" w:rsidRPr="00DB1411" w:rsidRDefault="00DB1411" w:rsidP="003D2194">
            <w:pPr>
              <w:rPr>
                <w:rStyle w:val="ui-provider"/>
                <w:sz w:val="22"/>
                <w:szCs w:val="22"/>
              </w:rPr>
            </w:pPr>
            <w:r w:rsidRPr="00BC5A4B">
              <w:rPr>
                <w:rFonts w:eastAsia="Calibri"/>
                <w:sz w:val="22"/>
                <w:szCs w:val="22"/>
                <w14:ligatures w14:val="standardContextual"/>
              </w:rPr>
              <w:t>FBMC Upload Error Report (RHR147)</w:t>
            </w:r>
          </w:p>
        </w:tc>
        <w:tc>
          <w:tcPr>
            <w:tcW w:w="7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D4AE05" w14:textId="28C2F967" w:rsidR="00DB1411" w:rsidRPr="00DB1411" w:rsidRDefault="00DB1411" w:rsidP="00DB1411">
            <w:pPr>
              <w:rPr>
                <w:rFonts w:eastAsia="Calibri"/>
                <w:color w:val="000000"/>
                <w:sz w:val="22"/>
                <w:szCs w:val="22"/>
              </w:rPr>
            </w:pPr>
            <w:r w:rsidRPr="00DB1411">
              <w:rPr>
                <w:rFonts w:eastAsia="Calibri"/>
                <w:color w:val="000000"/>
                <w:sz w:val="22"/>
                <w:szCs w:val="22"/>
              </w:rPr>
              <w:t xml:space="preserve">Several columns have changed on the report </w:t>
            </w:r>
          </w:p>
          <w:p w14:paraId="2624B4FC" w14:textId="0A24908D" w:rsidR="00DB1411" w:rsidRPr="00DB1411" w:rsidRDefault="00DB1411" w:rsidP="00DB1411">
            <w:pPr>
              <w:pStyle w:val="ListParagraph"/>
              <w:numPr>
                <w:ilvl w:val="1"/>
                <w:numId w:val="39"/>
              </w:numPr>
              <w:rPr>
                <w:rFonts w:eastAsia="Calibri"/>
                <w:color w:val="000000"/>
                <w:sz w:val="22"/>
                <w:szCs w:val="22"/>
              </w:rPr>
            </w:pPr>
            <w:r w:rsidRPr="00DB1411">
              <w:rPr>
                <w:rFonts w:eastAsia="Calibri"/>
                <w:color w:val="000000"/>
                <w:sz w:val="22"/>
                <w:szCs w:val="22"/>
              </w:rPr>
              <w:t>The DOA FEE now correctly displays the 0.15 when the transaction is for the PSTTAX general deduction. It was incorrectly displaying when there was a TPAFEE amount, which typically only applies to a 403(b) annuity transaction.</w:t>
            </w:r>
          </w:p>
          <w:p w14:paraId="693FDFBE" w14:textId="77777777" w:rsidR="00DB1411" w:rsidRPr="00DB1411" w:rsidRDefault="00DB1411" w:rsidP="00DB1411">
            <w:pPr>
              <w:numPr>
                <w:ilvl w:val="1"/>
                <w:numId w:val="39"/>
              </w:numPr>
              <w:rPr>
                <w:rFonts w:eastAsia="Calibri"/>
                <w:color w:val="000000"/>
                <w:sz w:val="22"/>
                <w:szCs w:val="22"/>
              </w:rPr>
            </w:pPr>
            <w:r w:rsidRPr="00DB1411">
              <w:rPr>
                <w:rFonts w:eastAsia="Calibri"/>
                <w:color w:val="000000"/>
                <w:sz w:val="22"/>
                <w:szCs w:val="22"/>
              </w:rPr>
              <w:t>The 403B TYPE column is now 403B PCTG. If applicable, the employee’s after-tax 403(b) percentage contribution will show in this column.</w:t>
            </w:r>
          </w:p>
          <w:p w14:paraId="52775EB4" w14:textId="77777777" w:rsidR="00DB1411" w:rsidRPr="00DB1411" w:rsidRDefault="00DB1411" w:rsidP="00DB1411">
            <w:pPr>
              <w:numPr>
                <w:ilvl w:val="1"/>
                <w:numId w:val="39"/>
              </w:numPr>
              <w:rPr>
                <w:rFonts w:eastAsia="Calibri"/>
                <w:color w:val="000000"/>
                <w:sz w:val="22"/>
                <w:szCs w:val="22"/>
              </w:rPr>
            </w:pPr>
            <w:r w:rsidRPr="00DB1411">
              <w:rPr>
                <w:rFonts w:eastAsia="Calibri"/>
                <w:color w:val="000000"/>
                <w:sz w:val="22"/>
                <w:szCs w:val="22"/>
              </w:rPr>
              <w:t>The ROTH TYPE column is now ROTH PCTG. If applicable, the employee’s after-tax 403(b) percentage contribution will show in this column.</w:t>
            </w:r>
          </w:p>
          <w:p w14:paraId="03893BAC" w14:textId="08243916" w:rsidR="00DB1411" w:rsidRDefault="00DB1411" w:rsidP="00DB1411">
            <w:pPr>
              <w:numPr>
                <w:ilvl w:val="1"/>
                <w:numId w:val="39"/>
              </w:numPr>
              <w:rPr>
                <w:rFonts w:eastAsia="Calibri"/>
                <w:color w:val="000000"/>
                <w:sz w:val="22"/>
                <w:szCs w:val="22"/>
              </w:rPr>
            </w:pPr>
            <w:r w:rsidRPr="00DB1411">
              <w:rPr>
                <w:rFonts w:eastAsia="Calibri"/>
                <w:color w:val="000000"/>
                <w:sz w:val="22"/>
                <w:szCs w:val="22"/>
              </w:rPr>
              <w:t xml:space="preserve">The TOTAL AMOUNT column has been removed. The amount shown in this column was a sum of the before-tax 403(b) and the 15-year catch-up amount, if applicable. It really added no unique information to the report. </w:t>
            </w:r>
          </w:p>
        </w:tc>
      </w:tr>
    </w:tbl>
    <w:p w14:paraId="0FD7DEA8" w14:textId="77777777" w:rsidR="00D62BE8" w:rsidRDefault="00D62BE8" w:rsidP="00D62BE8">
      <w:pPr>
        <w:pStyle w:val="BlockLine"/>
        <w:spacing w:before="120"/>
        <w:ind w:left="1350"/>
        <w:rPr>
          <w:sz w:val="16"/>
          <w:szCs w:val="16"/>
        </w:rPr>
      </w:pPr>
    </w:p>
    <w:p w14:paraId="21864F8C" w14:textId="77777777" w:rsidR="001E6AC2" w:rsidRPr="009F4ED9" w:rsidRDefault="001E6AC2" w:rsidP="001E6AC2">
      <w:pPr>
        <w:pStyle w:val="Heading4"/>
        <w:spacing w:after="0"/>
        <w:rPr>
          <w:rFonts w:ascii="Times New Roman" w:hAnsi="Times New Roman"/>
          <w:b/>
          <w:sz w:val="28"/>
          <w:szCs w:val="28"/>
        </w:rPr>
      </w:pPr>
      <w:r>
        <w:rPr>
          <w:rFonts w:ascii="Times New Roman" w:hAnsi="Times New Roman"/>
          <w:b/>
          <w:sz w:val="28"/>
          <w:szCs w:val="28"/>
        </w:rPr>
        <w:t>Balance Adjustment Reminders</w:t>
      </w:r>
    </w:p>
    <w:p w14:paraId="38A6745E" w14:textId="77777777" w:rsidR="001E6AC2" w:rsidRDefault="001E6AC2" w:rsidP="001E6AC2">
      <w:pPr>
        <w:pStyle w:val="BlockLine"/>
        <w:ind w:left="1350"/>
        <w:rPr>
          <w:sz w:val="16"/>
          <w:szCs w:val="16"/>
        </w:rPr>
      </w:pPr>
    </w:p>
    <w:tbl>
      <w:tblPr>
        <w:tblW w:w="19008" w:type="dxa"/>
        <w:tblLayout w:type="fixed"/>
        <w:tblLook w:val="0000" w:firstRow="0" w:lastRow="0" w:firstColumn="0" w:lastColumn="0" w:noHBand="0" w:noVBand="0"/>
      </w:tblPr>
      <w:tblGrid>
        <w:gridCol w:w="1728"/>
        <w:gridCol w:w="8640"/>
        <w:gridCol w:w="8640"/>
      </w:tblGrid>
      <w:tr w:rsidR="001E6AC2" w14:paraId="79AE6B93" w14:textId="77777777" w:rsidTr="00DE0583">
        <w:trPr>
          <w:cantSplit/>
          <w:trHeight w:val="1269"/>
        </w:trPr>
        <w:tc>
          <w:tcPr>
            <w:tcW w:w="1728" w:type="dxa"/>
          </w:tcPr>
          <w:p w14:paraId="64CB1110" w14:textId="77777777" w:rsidR="001E6AC2" w:rsidRPr="0055430B" w:rsidRDefault="001E6AC2" w:rsidP="00DE0583">
            <w:pPr>
              <w:pStyle w:val="Heading5"/>
              <w:rPr>
                <w:szCs w:val="22"/>
              </w:rPr>
            </w:pPr>
          </w:p>
        </w:tc>
        <w:tc>
          <w:tcPr>
            <w:tcW w:w="8640" w:type="dxa"/>
          </w:tcPr>
          <w:p w14:paraId="5D5A87A0" w14:textId="77777777" w:rsidR="001E6AC2" w:rsidRDefault="001E6AC2" w:rsidP="00DE0583">
            <w:pPr>
              <w:pStyle w:val="HTMLPreformatted"/>
              <w:rPr>
                <w:rFonts w:ascii="Times New Roman" w:hAnsi="Times New Roman"/>
                <w:sz w:val="22"/>
                <w:szCs w:val="22"/>
              </w:rPr>
            </w:pPr>
            <w:r>
              <w:rPr>
                <w:rFonts w:ascii="Times New Roman" w:hAnsi="Times New Roman"/>
                <w:sz w:val="22"/>
                <w:szCs w:val="22"/>
              </w:rPr>
              <w:t>Please observe the following when submitting balance adjustments:</w:t>
            </w:r>
          </w:p>
          <w:p w14:paraId="7511E5C8" w14:textId="77777777" w:rsidR="001E6AC2" w:rsidRDefault="001E6AC2" w:rsidP="00DE0583">
            <w:pPr>
              <w:pStyle w:val="HTMLPreformatted"/>
              <w:rPr>
                <w:rFonts w:ascii="Times New Roman" w:hAnsi="Times New Roman"/>
                <w:sz w:val="22"/>
                <w:szCs w:val="22"/>
              </w:rPr>
            </w:pPr>
          </w:p>
          <w:p w14:paraId="4AA90FA2" w14:textId="77777777" w:rsidR="001E6AC2" w:rsidRDefault="001E6AC2" w:rsidP="00DE0583">
            <w:pPr>
              <w:pStyle w:val="HTMLPreformatted"/>
              <w:numPr>
                <w:ilvl w:val="0"/>
                <w:numId w:val="37"/>
              </w:numPr>
              <w:rPr>
                <w:rFonts w:ascii="Times New Roman" w:hAnsi="Times New Roman"/>
                <w:sz w:val="22"/>
                <w:szCs w:val="22"/>
              </w:rPr>
            </w:pPr>
            <w:r>
              <w:rPr>
                <w:rFonts w:ascii="Times New Roman" w:hAnsi="Times New Roman"/>
                <w:sz w:val="22"/>
                <w:szCs w:val="22"/>
              </w:rPr>
              <w:t xml:space="preserve"> Please use the most recent version of the form updated in November 2023.  “Balance Adjustments Request Form” is available in the HCM Forms section of the Payroll Operations Forms webpage.  In addition, there is a Balance Adjustment Example Packet updated in March 2024 available in the same location.</w:t>
            </w:r>
          </w:p>
          <w:p w14:paraId="52C99BEF" w14:textId="77777777" w:rsidR="001E6AC2" w:rsidRDefault="001E6AC2" w:rsidP="00DE0583">
            <w:pPr>
              <w:pStyle w:val="HTMLPreformatted"/>
              <w:numPr>
                <w:ilvl w:val="0"/>
                <w:numId w:val="37"/>
              </w:numPr>
              <w:rPr>
                <w:rFonts w:ascii="Times New Roman" w:hAnsi="Times New Roman"/>
                <w:sz w:val="22"/>
                <w:szCs w:val="22"/>
              </w:rPr>
            </w:pPr>
            <w:r>
              <w:rPr>
                <w:rFonts w:ascii="Times New Roman" w:hAnsi="Times New Roman"/>
                <w:sz w:val="22"/>
                <w:szCs w:val="22"/>
              </w:rPr>
              <w:t>Agencies MUST include the balance review screens with the balance adjustment request.</w:t>
            </w:r>
          </w:p>
          <w:p w14:paraId="1B6FF0C0" w14:textId="77777777" w:rsidR="001E6AC2" w:rsidRDefault="001E6AC2" w:rsidP="00DE0583">
            <w:pPr>
              <w:pStyle w:val="HTMLPreformatted"/>
              <w:numPr>
                <w:ilvl w:val="0"/>
                <w:numId w:val="37"/>
              </w:numPr>
              <w:rPr>
                <w:rFonts w:ascii="Times New Roman" w:hAnsi="Times New Roman"/>
                <w:sz w:val="22"/>
                <w:szCs w:val="22"/>
              </w:rPr>
            </w:pPr>
            <w:r>
              <w:rPr>
                <w:rFonts w:ascii="Times New Roman" w:hAnsi="Times New Roman"/>
                <w:sz w:val="22"/>
                <w:szCs w:val="22"/>
              </w:rPr>
              <w:t>If submitting a balance adjustment for overpayments/repayments, please include the date the overpayment originally occurred, the amount of the overpayment, the date repayment was received and the amount of the repayment in the explanation section of the form.</w:t>
            </w:r>
          </w:p>
          <w:p w14:paraId="3073AFD2" w14:textId="77777777" w:rsidR="001E6AC2" w:rsidRDefault="001E6AC2" w:rsidP="00DE0583">
            <w:pPr>
              <w:pStyle w:val="HTMLPreformatted"/>
              <w:numPr>
                <w:ilvl w:val="0"/>
                <w:numId w:val="37"/>
              </w:numPr>
              <w:rPr>
                <w:rFonts w:ascii="Times New Roman" w:hAnsi="Times New Roman"/>
                <w:sz w:val="22"/>
                <w:szCs w:val="22"/>
              </w:rPr>
            </w:pPr>
            <w:r>
              <w:rPr>
                <w:rFonts w:ascii="Times New Roman" w:hAnsi="Times New Roman"/>
                <w:sz w:val="22"/>
                <w:szCs w:val="22"/>
              </w:rPr>
              <w:t>Taxes cannot be refunded using a balance adjustment form.  To refund employees for taxes paid in the current year, an Update Paysheet Request must be submitted.</w:t>
            </w:r>
          </w:p>
          <w:p w14:paraId="612CDC5C" w14:textId="77777777" w:rsidR="001E6AC2" w:rsidRPr="00760289" w:rsidRDefault="001E6AC2" w:rsidP="00DE0583">
            <w:pPr>
              <w:pStyle w:val="HTMLPreformatted"/>
              <w:numPr>
                <w:ilvl w:val="0"/>
                <w:numId w:val="37"/>
              </w:numPr>
              <w:rPr>
                <w:rFonts w:ascii="Times New Roman" w:hAnsi="Times New Roman"/>
                <w:sz w:val="22"/>
                <w:szCs w:val="22"/>
              </w:rPr>
            </w:pPr>
            <w:r>
              <w:rPr>
                <w:rFonts w:ascii="Times New Roman" w:hAnsi="Times New Roman"/>
                <w:sz w:val="22"/>
                <w:szCs w:val="22"/>
              </w:rPr>
              <w:t xml:space="preserve">Forms should be uploaded to the “Quarterly Reporting” folder in SPO SharePoint. </w:t>
            </w:r>
          </w:p>
        </w:tc>
        <w:tc>
          <w:tcPr>
            <w:tcW w:w="8640" w:type="dxa"/>
          </w:tcPr>
          <w:p w14:paraId="110EA3CB" w14:textId="77777777" w:rsidR="001E6AC2" w:rsidRPr="002A1C18" w:rsidRDefault="001E6AC2" w:rsidP="00DE0583">
            <w:pPr>
              <w:pStyle w:val="HTMLPreformatted"/>
              <w:rPr>
                <w:rFonts w:ascii="Times New Roman" w:hAnsi="Times New Roman"/>
                <w:sz w:val="22"/>
                <w:szCs w:val="22"/>
              </w:rPr>
            </w:pPr>
          </w:p>
        </w:tc>
      </w:tr>
    </w:tbl>
    <w:p w14:paraId="3361D586" w14:textId="77777777" w:rsidR="001E6AC2" w:rsidRDefault="001E6AC2" w:rsidP="001E6AC2">
      <w:pPr>
        <w:pStyle w:val="BlockLine"/>
        <w:spacing w:before="120"/>
        <w:ind w:left="1350"/>
        <w:rPr>
          <w:sz w:val="16"/>
          <w:szCs w:val="16"/>
        </w:rPr>
      </w:pPr>
    </w:p>
    <w:p w14:paraId="41647B8A" w14:textId="038403EA" w:rsidR="00BC5A4B" w:rsidRPr="00BC5A4B" w:rsidRDefault="00BC5A4B" w:rsidP="00BC5A4B">
      <w:pPr>
        <w:rPr>
          <w:rFonts w:ascii="Arial" w:eastAsia="Calibri" w:hAnsi="Arial" w:cs="Arial"/>
          <w:sz w:val="22"/>
          <w:szCs w:val="22"/>
          <w14:ligatures w14:val="standardContextual"/>
        </w:rPr>
      </w:pPr>
    </w:p>
    <w:p w14:paraId="46E4316D" w14:textId="77777777" w:rsidR="00BC5A4B" w:rsidRPr="00BC5A4B" w:rsidRDefault="00BC5A4B" w:rsidP="00BC5A4B">
      <w:pPr>
        <w:rPr>
          <w:rFonts w:ascii="Arial" w:eastAsia="Calibri" w:hAnsi="Arial" w:cs="Arial"/>
          <w:sz w:val="22"/>
          <w:szCs w:val="22"/>
          <w14:ligatures w14:val="standardContextual"/>
        </w:rPr>
      </w:pPr>
    </w:p>
    <w:p w14:paraId="0E41452B" w14:textId="7A96D988" w:rsidR="00BC5A4B" w:rsidRDefault="00BC5A4B" w:rsidP="00BC5A4B">
      <w:pPr>
        <w:rPr>
          <w:b/>
          <w:sz w:val="28"/>
          <w:szCs w:val="28"/>
        </w:rPr>
      </w:pPr>
      <w:r>
        <w:rPr>
          <w:b/>
          <w:sz w:val="28"/>
          <w:szCs w:val="28"/>
        </w:rPr>
        <w:br w:type="page"/>
      </w:r>
    </w:p>
    <w:p w14:paraId="7CC71092" w14:textId="22616A8C" w:rsidR="00CA6FE0" w:rsidRPr="009F4ED9" w:rsidRDefault="00E65A1A" w:rsidP="00CA6FE0">
      <w:pPr>
        <w:pStyle w:val="Heading4"/>
        <w:spacing w:after="0"/>
        <w:rPr>
          <w:rFonts w:ascii="Times New Roman" w:hAnsi="Times New Roman"/>
          <w:b/>
          <w:sz w:val="28"/>
          <w:szCs w:val="28"/>
        </w:rPr>
      </w:pPr>
      <w:r>
        <w:rPr>
          <w:rFonts w:ascii="Times New Roman" w:hAnsi="Times New Roman"/>
          <w:b/>
          <w:sz w:val="28"/>
          <w:szCs w:val="28"/>
        </w:rPr>
        <w:lastRenderedPageBreak/>
        <w:t>W</w:t>
      </w:r>
      <w:r w:rsidR="00F03D7D">
        <w:rPr>
          <w:rFonts w:ascii="Times New Roman" w:hAnsi="Times New Roman"/>
          <w:b/>
          <w:sz w:val="28"/>
          <w:szCs w:val="28"/>
        </w:rPr>
        <w:t>-</w:t>
      </w:r>
      <w:r>
        <w:rPr>
          <w:rFonts w:ascii="Times New Roman" w:hAnsi="Times New Roman"/>
          <w:b/>
          <w:sz w:val="28"/>
          <w:szCs w:val="28"/>
        </w:rPr>
        <w:t>2C Request Reminders</w:t>
      </w:r>
    </w:p>
    <w:p w14:paraId="7BD3AB65" w14:textId="77777777" w:rsidR="00CA6FE0" w:rsidRDefault="00CA6FE0" w:rsidP="00CA6FE0">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65818" w14:paraId="3582ECBF" w14:textId="77777777" w:rsidTr="002A1C18">
        <w:trPr>
          <w:cantSplit/>
          <w:trHeight w:val="1269"/>
        </w:trPr>
        <w:tc>
          <w:tcPr>
            <w:tcW w:w="1728" w:type="dxa"/>
          </w:tcPr>
          <w:p w14:paraId="456D978E" w14:textId="641428B4" w:rsidR="00865818" w:rsidRPr="0055430B" w:rsidRDefault="00865818" w:rsidP="00471AAF">
            <w:pPr>
              <w:pStyle w:val="Heading5"/>
              <w:rPr>
                <w:szCs w:val="22"/>
              </w:rPr>
            </w:pPr>
            <w:bookmarkStart w:id="5" w:name="_Hlk158552433"/>
          </w:p>
        </w:tc>
        <w:tc>
          <w:tcPr>
            <w:tcW w:w="8640" w:type="dxa"/>
          </w:tcPr>
          <w:p w14:paraId="3A762D39" w14:textId="77777777" w:rsidR="00E65A1A" w:rsidRDefault="00E65A1A" w:rsidP="001845DB">
            <w:pPr>
              <w:pStyle w:val="HTMLPreformatted"/>
              <w:rPr>
                <w:rFonts w:ascii="Times New Roman" w:hAnsi="Times New Roman"/>
                <w:sz w:val="22"/>
                <w:szCs w:val="22"/>
              </w:rPr>
            </w:pPr>
            <w:r>
              <w:rPr>
                <w:rFonts w:ascii="Times New Roman" w:hAnsi="Times New Roman"/>
                <w:sz w:val="22"/>
                <w:szCs w:val="22"/>
              </w:rPr>
              <w:t>Please observe the following when submitting requests for W2 corrections:</w:t>
            </w:r>
          </w:p>
          <w:p w14:paraId="5648E679" w14:textId="77777777" w:rsidR="00E65A1A" w:rsidRDefault="00E65A1A" w:rsidP="001845DB">
            <w:pPr>
              <w:pStyle w:val="HTMLPreformatted"/>
              <w:rPr>
                <w:rFonts w:ascii="Times New Roman" w:hAnsi="Times New Roman"/>
                <w:sz w:val="22"/>
                <w:szCs w:val="22"/>
              </w:rPr>
            </w:pPr>
          </w:p>
          <w:p w14:paraId="0E2518E7" w14:textId="75027EAE" w:rsidR="002A1C18" w:rsidRDefault="00E65A1A" w:rsidP="00E65A1A">
            <w:pPr>
              <w:pStyle w:val="HTMLPreformatted"/>
              <w:numPr>
                <w:ilvl w:val="0"/>
                <w:numId w:val="36"/>
              </w:numPr>
              <w:rPr>
                <w:rFonts w:ascii="Times New Roman" w:hAnsi="Times New Roman"/>
                <w:sz w:val="22"/>
                <w:szCs w:val="22"/>
              </w:rPr>
            </w:pPr>
            <w:r>
              <w:rPr>
                <w:rFonts w:ascii="Times New Roman" w:hAnsi="Times New Roman"/>
                <w:sz w:val="22"/>
                <w:szCs w:val="22"/>
              </w:rPr>
              <w:t xml:space="preserve"> Please use the most recent version of the form updated in November 2023.  </w:t>
            </w:r>
            <w:r w:rsidR="00854E8E">
              <w:rPr>
                <w:rFonts w:ascii="Times New Roman" w:hAnsi="Times New Roman"/>
                <w:sz w:val="22"/>
                <w:szCs w:val="22"/>
              </w:rPr>
              <w:t xml:space="preserve">“Agency Request for W-2C” is </w:t>
            </w:r>
            <w:r>
              <w:rPr>
                <w:rFonts w:ascii="Times New Roman" w:hAnsi="Times New Roman"/>
                <w:sz w:val="22"/>
                <w:szCs w:val="22"/>
              </w:rPr>
              <w:t xml:space="preserve">available </w:t>
            </w:r>
            <w:r w:rsidR="00854E8E">
              <w:rPr>
                <w:rFonts w:ascii="Times New Roman" w:hAnsi="Times New Roman"/>
                <w:sz w:val="22"/>
                <w:szCs w:val="22"/>
              </w:rPr>
              <w:t>in the Quarterly Reconciliation Forms section of the Payroll Operations Forms webpage.</w:t>
            </w:r>
            <w:r>
              <w:rPr>
                <w:rFonts w:ascii="Times New Roman" w:hAnsi="Times New Roman"/>
                <w:sz w:val="22"/>
                <w:szCs w:val="22"/>
              </w:rPr>
              <w:t xml:space="preserve"> </w:t>
            </w:r>
          </w:p>
          <w:p w14:paraId="079D3152" w14:textId="69830B68" w:rsidR="00E65A1A" w:rsidRDefault="00E65A1A" w:rsidP="00E65A1A">
            <w:pPr>
              <w:pStyle w:val="HTMLPreformatted"/>
              <w:numPr>
                <w:ilvl w:val="0"/>
                <w:numId w:val="36"/>
              </w:numPr>
              <w:rPr>
                <w:rFonts w:ascii="Times New Roman" w:hAnsi="Times New Roman"/>
                <w:sz w:val="22"/>
                <w:szCs w:val="22"/>
              </w:rPr>
            </w:pPr>
            <w:r>
              <w:rPr>
                <w:rFonts w:ascii="Times New Roman" w:hAnsi="Times New Roman"/>
                <w:sz w:val="22"/>
                <w:szCs w:val="22"/>
              </w:rPr>
              <w:t>DOA does not process W</w:t>
            </w:r>
            <w:r w:rsidR="00F03D7D">
              <w:rPr>
                <w:rFonts w:ascii="Times New Roman" w:hAnsi="Times New Roman"/>
                <w:sz w:val="22"/>
                <w:szCs w:val="22"/>
              </w:rPr>
              <w:t>-</w:t>
            </w:r>
            <w:r>
              <w:rPr>
                <w:rFonts w:ascii="Times New Roman" w:hAnsi="Times New Roman"/>
                <w:sz w:val="22"/>
                <w:szCs w:val="22"/>
              </w:rPr>
              <w:t>2C requests for middle name corrections.</w:t>
            </w:r>
          </w:p>
          <w:p w14:paraId="36759347" w14:textId="7A90A8F0" w:rsidR="00E65A1A" w:rsidRDefault="00E65A1A" w:rsidP="00E65A1A">
            <w:pPr>
              <w:pStyle w:val="HTMLPreformatted"/>
              <w:numPr>
                <w:ilvl w:val="0"/>
                <w:numId w:val="36"/>
              </w:numPr>
              <w:rPr>
                <w:rFonts w:ascii="Times New Roman" w:hAnsi="Times New Roman"/>
                <w:sz w:val="22"/>
                <w:szCs w:val="22"/>
              </w:rPr>
            </w:pPr>
            <w:r>
              <w:rPr>
                <w:rFonts w:ascii="Times New Roman" w:hAnsi="Times New Roman"/>
                <w:sz w:val="22"/>
                <w:szCs w:val="22"/>
              </w:rPr>
              <w:t xml:space="preserve">Agencies </w:t>
            </w:r>
            <w:r w:rsidR="00760289">
              <w:rPr>
                <w:rFonts w:ascii="Times New Roman" w:hAnsi="Times New Roman"/>
                <w:sz w:val="22"/>
                <w:szCs w:val="22"/>
              </w:rPr>
              <w:t>MUST</w:t>
            </w:r>
            <w:r>
              <w:rPr>
                <w:rFonts w:ascii="Times New Roman" w:hAnsi="Times New Roman"/>
                <w:sz w:val="22"/>
                <w:szCs w:val="22"/>
              </w:rPr>
              <w:t xml:space="preserve"> include a copy of the original W</w:t>
            </w:r>
            <w:r w:rsidR="00F03D7D">
              <w:rPr>
                <w:rFonts w:ascii="Times New Roman" w:hAnsi="Times New Roman"/>
                <w:sz w:val="22"/>
                <w:szCs w:val="22"/>
              </w:rPr>
              <w:t>-</w:t>
            </w:r>
            <w:r>
              <w:rPr>
                <w:rFonts w:ascii="Times New Roman" w:hAnsi="Times New Roman"/>
                <w:sz w:val="22"/>
                <w:szCs w:val="22"/>
              </w:rPr>
              <w:t>2 when submitting a W</w:t>
            </w:r>
            <w:r w:rsidR="00F03D7D">
              <w:rPr>
                <w:rFonts w:ascii="Times New Roman" w:hAnsi="Times New Roman"/>
                <w:sz w:val="22"/>
                <w:szCs w:val="22"/>
              </w:rPr>
              <w:t>-</w:t>
            </w:r>
            <w:r>
              <w:rPr>
                <w:rFonts w:ascii="Times New Roman" w:hAnsi="Times New Roman"/>
                <w:sz w:val="22"/>
                <w:szCs w:val="22"/>
              </w:rPr>
              <w:t>2C request.</w:t>
            </w:r>
          </w:p>
          <w:p w14:paraId="4DDCE4D4" w14:textId="77777777" w:rsidR="00E65A1A" w:rsidRDefault="00FA64D9" w:rsidP="00E65A1A">
            <w:pPr>
              <w:pStyle w:val="HTMLPreformatted"/>
              <w:numPr>
                <w:ilvl w:val="0"/>
                <w:numId w:val="36"/>
              </w:numPr>
              <w:rPr>
                <w:rFonts w:ascii="Times New Roman" w:hAnsi="Times New Roman"/>
                <w:sz w:val="22"/>
                <w:szCs w:val="22"/>
              </w:rPr>
            </w:pPr>
            <w:r>
              <w:rPr>
                <w:rFonts w:ascii="Times New Roman" w:hAnsi="Times New Roman"/>
                <w:sz w:val="22"/>
                <w:szCs w:val="22"/>
              </w:rPr>
              <w:t>The full social security number must be provided on the request form.  Do not redact the SSN.</w:t>
            </w:r>
          </w:p>
          <w:p w14:paraId="3EC684AF" w14:textId="1AADF115" w:rsidR="00FA64D9" w:rsidRDefault="00FA64D9" w:rsidP="00E65A1A">
            <w:pPr>
              <w:pStyle w:val="HTMLPreformatted"/>
              <w:numPr>
                <w:ilvl w:val="0"/>
                <w:numId w:val="36"/>
              </w:numPr>
              <w:rPr>
                <w:rFonts w:ascii="Times New Roman" w:hAnsi="Times New Roman"/>
                <w:sz w:val="22"/>
                <w:szCs w:val="22"/>
              </w:rPr>
            </w:pPr>
            <w:r>
              <w:rPr>
                <w:rFonts w:ascii="Times New Roman" w:hAnsi="Times New Roman"/>
                <w:sz w:val="22"/>
                <w:szCs w:val="22"/>
              </w:rPr>
              <w:t>W</w:t>
            </w:r>
            <w:r w:rsidR="00F03D7D">
              <w:rPr>
                <w:rFonts w:ascii="Times New Roman" w:hAnsi="Times New Roman"/>
                <w:sz w:val="22"/>
                <w:szCs w:val="22"/>
              </w:rPr>
              <w:t>-</w:t>
            </w:r>
            <w:r>
              <w:rPr>
                <w:rFonts w:ascii="Times New Roman" w:hAnsi="Times New Roman"/>
                <w:sz w:val="22"/>
                <w:szCs w:val="22"/>
              </w:rPr>
              <w:t xml:space="preserve">2C requests for overpayments/repayments </w:t>
            </w:r>
            <w:r w:rsidR="00760289">
              <w:rPr>
                <w:rFonts w:ascii="Times New Roman" w:hAnsi="Times New Roman"/>
                <w:sz w:val="22"/>
                <w:szCs w:val="22"/>
              </w:rPr>
              <w:t>MUST</w:t>
            </w:r>
            <w:r>
              <w:rPr>
                <w:rFonts w:ascii="Times New Roman" w:hAnsi="Times New Roman"/>
                <w:sz w:val="22"/>
                <w:szCs w:val="22"/>
              </w:rPr>
              <w:t xml:space="preserve"> include a copy of the Review Paycheck or Earnings Notice showing the original overpayment.  If the overpayment occurred over several pay periods, a spreadsheet containing the details is also acceptable.  The request </w:t>
            </w:r>
            <w:r w:rsidR="00760289">
              <w:rPr>
                <w:rFonts w:ascii="Times New Roman" w:hAnsi="Times New Roman"/>
                <w:sz w:val="22"/>
                <w:szCs w:val="22"/>
              </w:rPr>
              <w:t>MUST</w:t>
            </w:r>
            <w:r>
              <w:rPr>
                <w:rFonts w:ascii="Times New Roman" w:hAnsi="Times New Roman"/>
                <w:sz w:val="22"/>
                <w:szCs w:val="22"/>
              </w:rPr>
              <w:t xml:space="preserve"> also include documentation to verify when repayment was </w:t>
            </w:r>
            <w:r w:rsidR="00AA100B">
              <w:rPr>
                <w:rFonts w:ascii="Times New Roman" w:hAnsi="Times New Roman"/>
                <w:sz w:val="22"/>
                <w:szCs w:val="22"/>
              </w:rPr>
              <w:t>made</w:t>
            </w:r>
            <w:r>
              <w:rPr>
                <w:rFonts w:ascii="Times New Roman" w:hAnsi="Times New Roman"/>
                <w:sz w:val="22"/>
                <w:szCs w:val="22"/>
              </w:rPr>
              <w:t>.</w:t>
            </w:r>
          </w:p>
          <w:p w14:paraId="4684C118" w14:textId="7711E545" w:rsidR="00FA64D9" w:rsidRDefault="00FA64D9" w:rsidP="00E65A1A">
            <w:pPr>
              <w:pStyle w:val="HTMLPreformatted"/>
              <w:numPr>
                <w:ilvl w:val="0"/>
                <w:numId w:val="36"/>
              </w:numPr>
              <w:rPr>
                <w:rFonts w:ascii="Times New Roman" w:hAnsi="Times New Roman"/>
                <w:sz w:val="22"/>
                <w:szCs w:val="22"/>
              </w:rPr>
            </w:pPr>
            <w:r>
              <w:rPr>
                <w:rFonts w:ascii="Times New Roman" w:hAnsi="Times New Roman"/>
                <w:sz w:val="22"/>
                <w:szCs w:val="22"/>
              </w:rPr>
              <w:t xml:space="preserve"> </w:t>
            </w:r>
            <w:r w:rsidR="00AA100B">
              <w:rPr>
                <w:rFonts w:ascii="Times New Roman" w:hAnsi="Times New Roman"/>
                <w:sz w:val="22"/>
                <w:szCs w:val="22"/>
              </w:rPr>
              <w:t>Due to the PII included in the W</w:t>
            </w:r>
            <w:r w:rsidR="00F03D7D">
              <w:rPr>
                <w:rFonts w:ascii="Times New Roman" w:hAnsi="Times New Roman"/>
                <w:sz w:val="22"/>
                <w:szCs w:val="22"/>
              </w:rPr>
              <w:t>-</w:t>
            </w:r>
            <w:r w:rsidR="00AA100B">
              <w:rPr>
                <w:rFonts w:ascii="Times New Roman" w:hAnsi="Times New Roman"/>
                <w:sz w:val="22"/>
                <w:szCs w:val="22"/>
              </w:rPr>
              <w:t xml:space="preserve">2C request, all requests </w:t>
            </w:r>
            <w:r w:rsidR="00760289">
              <w:rPr>
                <w:rFonts w:ascii="Times New Roman" w:hAnsi="Times New Roman"/>
                <w:sz w:val="22"/>
                <w:szCs w:val="22"/>
              </w:rPr>
              <w:t>MUST</w:t>
            </w:r>
            <w:r w:rsidR="00AA100B">
              <w:rPr>
                <w:rFonts w:ascii="Times New Roman" w:hAnsi="Times New Roman"/>
                <w:sz w:val="22"/>
                <w:szCs w:val="22"/>
              </w:rPr>
              <w:t xml:space="preserve"> be uploaded to the “W</w:t>
            </w:r>
            <w:r w:rsidR="00F03D7D">
              <w:rPr>
                <w:rFonts w:ascii="Times New Roman" w:hAnsi="Times New Roman"/>
                <w:sz w:val="22"/>
                <w:szCs w:val="22"/>
              </w:rPr>
              <w:t>-</w:t>
            </w:r>
            <w:r w:rsidR="00AA100B">
              <w:rPr>
                <w:rFonts w:ascii="Times New Roman" w:hAnsi="Times New Roman"/>
                <w:sz w:val="22"/>
                <w:szCs w:val="22"/>
              </w:rPr>
              <w:t>2 Request” folder in SPO SharePoint.</w:t>
            </w:r>
          </w:p>
          <w:p w14:paraId="240B2AC9" w14:textId="76A25BEF" w:rsidR="00AA100B" w:rsidRDefault="00AA100B" w:rsidP="00E65A1A">
            <w:pPr>
              <w:pStyle w:val="HTMLPreformatted"/>
              <w:numPr>
                <w:ilvl w:val="0"/>
                <w:numId w:val="36"/>
              </w:numPr>
              <w:rPr>
                <w:rFonts w:ascii="Times New Roman" w:hAnsi="Times New Roman"/>
                <w:sz w:val="22"/>
                <w:szCs w:val="22"/>
              </w:rPr>
            </w:pPr>
            <w:r>
              <w:rPr>
                <w:rFonts w:ascii="Times New Roman" w:hAnsi="Times New Roman"/>
                <w:sz w:val="22"/>
                <w:szCs w:val="22"/>
              </w:rPr>
              <w:t>Agencies must select a box in the certification section of the W</w:t>
            </w:r>
            <w:r w:rsidR="00F03D7D">
              <w:rPr>
                <w:rFonts w:ascii="Times New Roman" w:hAnsi="Times New Roman"/>
                <w:sz w:val="22"/>
                <w:szCs w:val="22"/>
              </w:rPr>
              <w:t>-</w:t>
            </w:r>
            <w:r>
              <w:rPr>
                <w:rFonts w:ascii="Times New Roman" w:hAnsi="Times New Roman"/>
                <w:sz w:val="22"/>
                <w:szCs w:val="22"/>
              </w:rPr>
              <w:t>2C request form IF the W</w:t>
            </w:r>
            <w:r w:rsidR="00F03D7D">
              <w:rPr>
                <w:rFonts w:ascii="Times New Roman" w:hAnsi="Times New Roman"/>
                <w:sz w:val="22"/>
                <w:szCs w:val="22"/>
              </w:rPr>
              <w:t>-</w:t>
            </w:r>
            <w:r>
              <w:rPr>
                <w:rFonts w:ascii="Times New Roman" w:hAnsi="Times New Roman"/>
                <w:sz w:val="22"/>
                <w:szCs w:val="22"/>
              </w:rPr>
              <w:t>2C results in a refund.</w:t>
            </w:r>
          </w:p>
          <w:p w14:paraId="0E33751E" w14:textId="4DADC953" w:rsidR="00AA100B" w:rsidRDefault="00BE0F86" w:rsidP="00E65A1A">
            <w:pPr>
              <w:pStyle w:val="HTMLPreformatted"/>
              <w:numPr>
                <w:ilvl w:val="0"/>
                <w:numId w:val="36"/>
              </w:numPr>
              <w:rPr>
                <w:rFonts w:ascii="Times New Roman" w:hAnsi="Times New Roman"/>
                <w:sz w:val="22"/>
                <w:szCs w:val="22"/>
              </w:rPr>
            </w:pPr>
            <w:r>
              <w:rPr>
                <w:rFonts w:ascii="Times New Roman" w:hAnsi="Times New Roman"/>
                <w:sz w:val="22"/>
                <w:szCs w:val="22"/>
              </w:rPr>
              <w:t>The Social Security Administration is only able to process W</w:t>
            </w:r>
            <w:r w:rsidR="00F03D7D">
              <w:rPr>
                <w:rFonts w:ascii="Times New Roman" w:hAnsi="Times New Roman"/>
                <w:sz w:val="22"/>
                <w:szCs w:val="22"/>
              </w:rPr>
              <w:t>-</w:t>
            </w:r>
            <w:r>
              <w:rPr>
                <w:rFonts w:ascii="Times New Roman" w:hAnsi="Times New Roman"/>
                <w:sz w:val="22"/>
                <w:szCs w:val="22"/>
              </w:rPr>
              <w:t>2C requests for the previous three completed calendar years.  For example, after April 1, 2024, W2Cs for any time prior to and including calendar year 2020 can no longer be processed.</w:t>
            </w:r>
          </w:p>
          <w:p w14:paraId="30CFF8A7" w14:textId="7E6C83E2" w:rsidR="00BE0F86" w:rsidRPr="002A1C18" w:rsidRDefault="00BE0F86" w:rsidP="00BE0F86">
            <w:pPr>
              <w:pStyle w:val="HTMLPreformatted"/>
              <w:rPr>
                <w:rFonts w:ascii="Times New Roman" w:hAnsi="Times New Roman"/>
                <w:sz w:val="22"/>
                <w:szCs w:val="22"/>
              </w:rPr>
            </w:pPr>
          </w:p>
        </w:tc>
      </w:tr>
    </w:tbl>
    <w:p w14:paraId="7898BE9F" w14:textId="4BB9C368" w:rsidR="0013270A" w:rsidRPr="00953A8B" w:rsidRDefault="0013270A" w:rsidP="00953A8B">
      <w:pPr>
        <w:pStyle w:val="BlockLine"/>
        <w:spacing w:before="120"/>
        <w:ind w:left="1350"/>
        <w:jc w:val="center"/>
        <w:rPr>
          <w:i/>
          <w:iCs/>
          <w:sz w:val="16"/>
          <w:szCs w:val="16"/>
        </w:rPr>
      </w:pPr>
    </w:p>
    <w:bookmarkEnd w:id="5"/>
    <w:p w14:paraId="694F6948" w14:textId="395BD559" w:rsidR="009175F5" w:rsidRPr="009F4ED9" w:rsidRDefault="009175F5" w:rsidP="009175F5">
      <w:pPr>
        <w:pStyle w:val="Heading4"/>
        <w:spacing w:after="0"/>
        <w:rPr>
          <w:rFonts w:ascii="Times New Roman" w:hAnsi="Times New Roman"/>
          <w:b/>
          <w:sz w:val="28"/>
          <w:szCs w:val="28"/>
        </w:rPr>
      </w:pPr>
      <w:r>
        <w:rPr>
          <w:rFonts w:ascii="Times New Roman" w:hAnsi="Times New Roman"/>
          <w:b/>
          <w:sz w:val="28"/>
          <w:szCs w:val="28"/>
        </w:rPr>
        <w:t>Overpayment Reminders</w:t>
      </w:r>
    </w:p>
    <w:p w14:paraId="2686D5A9" w14:textId="77777777" w:rsidR="009175F5" w:rsidRDefault="009175F5" w:rsidP="009175F5">
      <w:pPr>
        <w:pStyle w:val="BlockLine"/>
        <w:ind w:left="1350"/>
        <w:rPr>
          <w:sz w:val="16"/>
          <w:szCs w:val="16"/>
        </w:rPr>
      </w:pPr>
    </w:p>
    <w:p w14:paraId="406477A9" w14:textId="77777777" w:rsidR="009175F5" w:rsidRPr="009175F5" w:rsidRDefault="009175F5" w:rsidP="009175F5"/>
    <w:tbl>
      <w:tblPr>
        <w:tblW w:w="10368" w:type="dxa"/>
        <w:tblLayout w:type="fixed"/>
        <w:tblLook w:val="0000" w:firstRow="0" w:lastRow="0" w:firstColumn="0" w:lastColumn="0" w:noHBand="0" w:noVBand="0"/>
      </w:tblPr>
      <w:tblGrid>
        <w:gridCol w:w="1728"/>
        <w:gridCol w:w="8640"/>
      </w:tblGrid>
      <w:tr w:rsidR="005705F3" w14:paraId="4B7A9F98" w14:textId="77777777" w:rsidTr="00E84395">
        <w:trPr>
          <w:cantSplit/>
          <w:trHeight w:val="1269"/>
        </w:trPr>
        <w:tc>
          <w:tcPr>
            <w:tcW w:w="1728" w:type="dxa"/>
          </w:tcPr>
          <w:p w14:paraId="57EBF391" w14:textId="3C645E83" w:rsidR="005705F3" w:rsidRPr="0055430B" w:rsidRDefault="005705F3" w:rsidP="00E84395">
            <w:pPr>
              <w:pStyle w:val="Heading5"/>
              <w:rPr>
                <w:szCs w:val="22"/>
              </w:rPr>
            </w:pPr>
          </w:p>
        </w:tc>
        <w:tc>
          <w:tcPr>
            <w:tcW w:w="8640" w:type="dxa"/>
          </w:tcPr>
          <w:p w14:paraId="6914A3C1" w14:textId="2A90520C" w:rsidR="00E65A1A" w:rsidRDefault="00940AE3" w:rsidP="00940AE3">
            <w:pPr>
              <w:pStyle w:val="HTMLPreformatted"/>
              <w:numPr>
                <w:ilvl w:val="0"/>
                <w:numId w:val="38"/>
              </w:numPr>
              <w:rPr>
                <w:rFonts w:ascii="Times New Roman" w:hAnsi="Times New Roman"/>
                <w:sz w:val="22"/>
                <w:szCs w:val="22"/>
              </w:rPr>
            </w:pPr>
            <w:r>
              <w:rPr>
                <w:rFonts w:ascii="Times New Roman" w:hAnsi="Times New Roman"/>
                <w:sz w:val="22"/>
                <w:szCs w:val="22"/>
              </w:rPr>
              <w:t xml:space="preserve"> If the repayment is received in the same year in which the overpayment occurred, the employee owes only the NET amount.</w:t>
            </w:r>
          </w:p>
          <w:p w14:paraId="3CE5FFC0" w14:textId="7A4AEF02" w:rsidR="00940AE3" w:rsidRDefault="00940AE3" w:rsidP="00940AE3">
            <w:pPr>
              <w:pStyle w:val="HTMLPreformatted"/>
              <w:numPr>
                <w:ilvl w:val="0"/>
                <w:numId w:val="38"/>
              </w:numPr>
              <w:rPr>
                <w:rFonts w:ascii="Times New Roman" w:hAnsi="Times New Roman"/>
                <w:sz w:val="22"/>
                <w:szCs w:val="22"/>
              </w:rPr>
            </w:pPr>
            <w:r>
              <w:rPr>
                <w:rFonts w:ascii="Times New Roman" w:hAnsi="Times New Roman"/>
                <w:sz w:val="22"/>
                <w:szCs w:val="22"/>
              </w:rPr>
              <w:t xml:space="preserve">If the repayment is received in the year following the year in which the overpayment occurred, the employee MUST repay the GROSS amount.  The only exception to this is for the employee share of FICA.  Agencies may, at their discretion, choose to reduce the GROSS amount due by the employee share of the FICA only.  When the refund is received from the IRS, the agency retains both the employee and employer </w:t>
            </w:r>
            <w:r w:rsidR="005B7B87">
              <w:rPr>
                <w:rFonts w:ascii="Times New Roman" w:hAnsi="Times New Roman"/>
                <w:sz w:val="22"/>
                <w:szCs w:val="22"/>
              </w:rPr>
              <w:t>portions.</w:t>
            </w:r>
          </w:p>
          <w:p w14:paraId="7B822962" w14:textId="4F6BD197" w:rsidR="00940AE3" w:rsidRPr="004F25FA" w:rsidRDefault="005B7B87" w:rsidP="004F25FA">
            <w:pPr>
              <w:pStyle w:val="HTMLPreformatted"/>
              <w:numPr>
                <w:ilvl w:val="0"/>
                <w:numId w:val="38"/>
              </w:numPr>
              <w:rPr>
                <w:rFonts w:ascii="Times New Roman" w:hAnsi="Times New Roman"/>
                <w:sz w:val="22"/>
                <w:szCs w:val="22"/>
              </w:rPr>
            </w:pPr>
            <w:r>
              <w:rPr>
                <w:rFonts w:ascii="Times New Roman" w:hAnsi="Times New Roman"/>
                <w:sz w:val="22"/>
                <w:szCs w:val="22"/>
              </w:rPr>
              <w:t xml:space="preserve">If the repayment crosses tax years and the employee made a partial payment on the net during the year in which the overpayment occurred, then the agency must recalculate the remaining amount due in subsequent calendar years.  </w:t>
            </w:r>
            <w:r w:rsidR="00CC3A9C">
              <w:rPr>
                <w:rFonts w:ascii="Times New Roman" w:hAnsi="Times New Roman"/>
                <w:sz w:val="22"/>
                <w:szCs w:val="22"/>
              </w:rPr>
              <w:t>The agency will need to identify how much of the original gross was covered by the net amount payment and subtract from the original gross to arrive at the remaining gross amount still due.</w:t>
            </w:r>
            <w:r w:rsidRPr="004F25FA">
              <w:rPr>
                <w:rFonts w:ascii="Times New Roman" w:hAnsi="Times New Roman"/>
                <w:sz w:val="22"/>
                <w:szCs w:val="22"/>
              </w:rPr>
              <w:t xml:space="preserve"> </w:t>
            </w:r>
          </w:p>
        </w:tc>
      </w:tr>
    </w:tbl>
    <w:p w14:paraId="3A4961F6" w14:textId="77777777" w:rsidR="005705F3" w:rsidRDefault="005705F3" w:rsidP="005705F3">
      <w:pPr>
        <w:pStyle w:val="BlockLine"/>
        <w:spacing w:before="120"/>
        <w:ind w:left="1350"/>
        <w:rPr>
          <w:sz w:val="16"/>
          <w:szCs w:val="16"/>
        </w:rPr>
      </w:pPr>
    </w:p>
    <w:p w14:paraId="2560002F" w14:textId="77777777" w:rsidR="006576B8" w:rsidRPr="005E7786" w:rsidRDefault="006576B8" w:rsidP="006576B8">
      <w:pPr>
        <w:rPr>
          <w:iCs/>
          <w:sz w:val="20"/>
        </w:rPr>
      </w:pPr>
    </w:p>
    <w:p w14:paraId="7B8DF309" w14:textId="2BCAB986" w:rsidR="005E7786" w:rsidRPr="005E7786" w:rsidRDefault="005E7786" w:rsidP="00075E4F">
      <w:pPr>
        <w:rPr>
          <w:iCs/>
          <w:sz w:val="20"/>
        </w:rPr>
      </w:pPr>
    </w:p>
    <w:sectPr w:rsidR="005E7786" w:rsidRPr="005E7786" w:rsidSect="00602BF2">
      <w:headerReference w:type="even" r:id="rId13"/>
      <w:headerReference w:type="default" r:id="rId14"/>
      <w:footerReference w:type="even" r:id="rId15"/>
      <w:footerReference w:type="default" r:id="rId16"/>
      <w:pgSz w:w="12240" w:h="15840" w:code="1"/>
      <w:pgMar w:top="720" w:right="1152" w:bottom="720" w:left="1152"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DBBA" w14:textId="77777777" w:rsidR="005000D3" w:rsidRDefault="005000D3">
      <w:r>
        <w:separator/>
      </w:r>
    </w:p>
  </w:endnote>
  <w:endnote w:type="continuationSeparator" w:id="0">
    <w:p w14:paraId="39E1D1C0" w14:textId="77777777" w:rsidR="005000D3" w:rsidRDefault="0050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94F8" w14:textId="77777777" w:rsidR="009B52FE" w:rsidRDefault="009B52FE">
    <w:pPr>
      <w:pStyle w:val="Footer"/>
      <w:framePr w:wrap="around" w:vAnchor="text" w:hAnchor="margin" w:xAlign="outside" w:y="1"/>
    </w:pPr>
    <w:r>
      <w:fldChar w:fldCharType="begin"/>
    </w:r>
    <w:r>
      <w:instrText xml:space="preserve">PAGE  </w:instrText>
    </w:r>
    <w:r>
      <w:fldChar w:fldCharType="end"/>
    </w:r>
  </w:p>
  <w:p w14:paraId="336BD8F1" w14:textId="77777777" w:rsidR="009B52FE" w:rsidRDefault="009B52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FB4" w14:textId="77777777" w:rsidR="00644834" w:rsidRPr="00644834" w:rsidRDefault="00644834" w:rsidP="00644834">
    <w:pPr>
      <w:pBdr>
        <w:top w:val="single" w:sz="6" w:space="0" w:color="auto"/>
      </w:pBdr>
      <w:tabs>
        <w:tab w:val="left" w:pos="5940"/>
      </w:tabs>
      <w:ind w:right="-414"/>
      <w:jc w:val="center"/>
      <w:rPr>
        <w:i/>
        <w:snapToGrid w:val="0"/>
        <w:sz w:val="18"/>
        <w:szCs w:val="18"/>
      </w:rPr>
    </w:pPr>
    <w:r w:rsidRPr="00644834">
      <w:rPr>
        <w:i/>
        <w:snapToGrid w:val="0"/>
        <w:sz w:val="18"/>
        <w:szCs w:val="18"/>
      </w:rPr>
      <w:t xml:space="preserve">Page </w:t>
    </w:r>
    <w:r w:rsidRPr="00644834">
      <w:rPr>
        <w:sz w:val="18"/>
        <w:szCs w:val="18"/>
      </w:rPr>
      <w:fldChar w:fldCharType="begin"/>
    </w:r>
    <w:r w:rsidRPr="00644834">
      <w:rPr>
        <w:sz w:val="18"/>
        <w:szCs w:val="18"/>
      </w:rPr>
      <w:instrText xml:space="preserve"> PAGE </w:instrText>
    </w:r>
    <w:r w:rsidRPr="00644834">
      <w:rPr>
        <w:sz w:val="18"/>
        <w:szCs w:val="18"/>
      </w:rPr>
      <w:fldChar w:fldCharType="separate"/>
    </w:r>
    <w:r w:rsidR="00FE54D1">
      <w:rPr>
        <w:noProof/>
        <w:sz w:val="18"/>
        <w:szCs w:val="18"/>
      </w:rPr>
      <w:t>7</w:t>
    </w:r>
    <w:r w:rsidRPr="00644834">
      <w:rPr>
        <w:sz w:val="18"/>
        <w:szCs w:val="18"/>
      </w:rPr>
      <w:fldChar w:fldCharType="end"/>
    </w:r>
    <w:r w:rsidRPr="00644834">
      <w:rPr>
        <w:sz w:val="18"/>
        <w:szCs w:val="18"/>
      </w:rPr>
      <w:t xml:space="preserve"> of </w:t>
    </w:r>
    <w:r w:rsidRPr="00644834">
      <w:rPr>
        <w:sz w:val="18"/>
        <w:szCs w:val="18"/>
      </w:rPr>
      <w:fldChar w:fldCharType="begin"/>
    </w:r>
    <w:r w:rsidRPr="00644834">
      <w:rPr>
        <w:sz w:val="18"/>
        <w:szCs w:val="18"/>
      </w:rPr>
      <w:instrText xml:space="preserve"> NUMPAGES </w:instrText>
    </w:r>
    <w:r w:rsidRPr="00644834">
      <w:rPr>
        <w:sz w:val="18"/>
        <w:szCs w:val="18"/>
      </w:rPr>
      <w:fldChar w:fldCharType="separate"/>
    </w:r>
    <w:r w:rsidR="00FE54D1">
      <w:rPr>
        <w:noProof/>
        <w:sz w:val="18"/>
        <w:szCs w:val="18"/>
      </w:rPr>
      <w:t>7</w:t>
    </w:r>
    <w:r w:rsidRPr="00644834">
      <w:rPr>
        <w:sz w:val="18"/>
        <w:szCs w:val="18"/>
      </w:rPr>
      <w:fldChar w:fldCharType="end"/>
    </w:r>
  </w:p>
  <w:p w14:paraId="7622F94B" w14:textId="77777777" w:rsidR="00644834" w:rsidRPr="00644834" w:rsidRDefault="00EB54BA" w:rsidP="00644834">
    <w:pPr>
      <w:jc w:val="center"/>
      <w:rPr>
        <w:rFonts w:ascii="Arial" w:hAnsi="Arial" w:cs="Arial"/>
        <w:color w:val="006666"/>
        <w:sz w:val="18"/>
        <w:szCs w:val="18"/>
      </w:rPr>
    </w:pPr>
    <w:hyperlink r:id="rId1" w:tooltip="http://www.doa.virginia.gov/Payroll/Payroll_Bulletins/Payroll_Bulletins_Main.cfm" w:history="1">
      <w:r w:rsidR="00644834" w:rsidRPr="00644834">
        <w:rPr>
          <w:i/>
          <w:iCs/>
          <w:snapToGrid w:val="0"/>
          <w:color w:val="0000FF"/>
          <w:sz w:val="18"/>
          <w:szCs w:val="18"/>
          <w:u w:val="single"/>
        </w:rPr>
        <w:t>http://www.doa.virginia.gov/Payroll/Payroll_Bulletins/Payroll_Bulletins_Main.cfm</w:t>
      </w:r>
    </w:hyperlink>
  </w:p>
  <w:p w14:paraId="36C2AA95" w14:textId="77777777" w:rsidR="00644834" w:rsidRPr="00644834" w:rsidRDefault="006448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E08D" w14:textId="77777777" w:rsidR="005000D3" w:rsidRDefault="005000D3">
      <w:r>
        <w:separator/>
      </w:r>
    </w:p>
  </w:footnote>
  <w:footnote w:type="continuationSeparator" w:id="0">
    <w:p w14:paraId="77360977" w14:textId="77777777" w:rsidR="005000D3" w:rsidRDefault="0050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FC4" w14:textId="77777777" w:rsidR="009B52FE" w:rsidRDefault="009B52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23D53" w14:textId="77777777" w:rsidR="009B52FE" w:rsidRDefault="009B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6" w:type="dxa"/>
      <w:jc w:val="center"/>
      <w:tblLayout w:type="fixed"/>
      <w:tblLook w:val="0000" w:firstRow="0" w:lastRow="0" w:firstColumn="0" w:lastColumn="0" w:noHBand="0" w:noVBand="0"/>
    </w:tblPr>
    <w:tblGrid>
      <w:gridCol w:w="3150"/>
      <w:gridCol w:w="4338"/>
      <w:gridCol w:w="3348"/>
    </w:tblGrid>
    <w:tr w:rsidR="00602BF2" w14:paraId="1CDBD74B" w14:textId="77777777" w:rsidTr="00D83103">
      <w:trPr>
        <w:cantSplit/>
        <w:jc w:val="center"/>
      </w:trPr>
      <w:tc>
        <w:tcPr>
          <w:tcW w:w="3150" w:type="dxa"/>
          <w:tcBorders>
            <w:bottom w:val="double" w:sz="6" w:space="0" w:color="auto"/>
          </w:tcBorders>
        </w:tcPr>
        <w:p w14:paraId="7B125956" w14:textId="6417F1AB" w:rsidR="00602BF2" w:rsidRDefault="00602BF2" w:rsidP="0051364C">
          <w:pPr>
            <w:pStyle w:val="Header"/>
            <w:rPr>
              <w:b/>
              <w:sz w:val="20"/>
            </w:rPr>
          </w:pPr>
          <w:r>
            <w:rPr>
              <w:b/>
              <w:sz w:val="20"/>
            </w:rPr>
            <w:t xml:space="preserve">Calendar Year </w:t>
          </w:r>
          <w:r w:rsidR="008D1D03">
            <w:rPr>
              <w:b/>
              <w:sz w:val="20"/>
            </w:rPr>
            <w:t>202</w:t>
          </w:r>
          <w:r w:rsidR="00BB6482">
            <w:rPr>
              <w:b/>
              <w:sz w:val="20"/>
            </w:rPr>
            <w:t>4</w:t>
          </w:r>
        </w:p>
      </w:tc>
      <w:tc>
        <w:tcPr>
          <w:tcW w:w="4338" w:type="dxa"/>
          <w:tcBorders>
            <w:bottom w:val="double" w:sz="6" w:space="0" w:color="auto"/>
          </w:tcBorders>
        </w:tcPr>
        <w:p w14:paraId="09FA2CAF" w14:textId="2BC397D6" w:rsidR="00602BF2" w:rsidRDefault="00645221" w:rsidP="0051364C">
          <w:pPr>
            <w:pStyle w:val="Header"/>
            <w:jc w:val="center"/>
            <w:rPr>
              <w:b/>
              <w:sz w:val="20"/>
            </w:rPr>
          </w:pPr>
          <w:r>
            <w:rPr>
              <w:b/>
              <w:sz w:val="20"/>
            </w:rPr>
            <w:t>April 1</w:t>
          </w:r>
          <w:r w:rsidR="00EB54BA">
            <w:rPr>
              <w:b/>
              <w:sz w:val="20"/>
            </w:rPr>
            <w:t>2</w:t>
          </w:r>
          <w:r w:rsidR="0071648C">
            <w:rPr>
              <w:b/>
              <w:sz w:val="20"/>
            </w:rPr>
            <w:t>, 2024</w:t>
          </w:r>
        </w:p>
      </w:tc>
      <w:tc>
        <w:tcPr>
          <w:tcW w:w="3348" w:type="dxa"/>
          <w:tcBorders>
            <w:bottom w:val="double" w:sz="6" w:space="0" w:color="auto"/>
          </w:tcBorders>
        </w:tcPr>
        <w:p w14:paraId="5D90F38A" w14:textId="0F8CB85F" w:rsidR="00602BF2" w:rsidRDefault="00602BF2" w:rsidP="0051364C">
          <w:pPr>
            <w:pStyle w:val="Header"/>
            <w:jc w:val="right"/>
            <w:rPr>
              <w:b/>
              <w:sz w:val="20"/>
            </w:rPr>
          </w:pPr>
          <w:r>
            <w:rPr>
              <w:b/>
              <w:sz w:val="20"/>
            </w:rPr>
            <w:t xml:space="preserve">Volume </w:t>
          </w:r>
          <w:r w:rsidR="008D1D03">
            <w:rPr>
              <w:b/>
              <w:sz w:val="20"/>
            </w:rPr>
            <w:t>202</w:t>
          </w:r>
          <w:r w:rsidR="00BB6482">
            <w:rPr>
              <w:b/>
              <w:sz w:val="20"/>
            </w:rPr>
            <w:t>4</w:t>
          </w:r>
          <w:r>
            <w:rPr>
              <w:b/>
              <w:sz w:val="20"/>
            </w:rPr>
            <w:t>-</w:t>
          </w:r>
          <w:r w:rsidR="00BB6482">
            <w:rPr>
              <w:b/>
              <w:sz w:val="20"/>
            </w:rPr>
            <w:t>0</w:t>
          </w:r>
          <w:r w:rsidR="00645221">
            <w:rPr>
              <w:b/>
              <w:sz w:val="20"/>
            </w:rPr>
            <w:t>5</w:t>
          </w:r>
        </w:p>
      </w:tc>
    </w:tr>
  </w:tbl>
  <w:p w14:paraId="38DF09C6" w14:textId="77777777" w:rsidR="00602BF2" w:rsidRPr="00602BF2" w:rsidRDefault="00602BF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AB158E4"/>
    <w:multiLevelType w:val="hybridMultilevel"/>
    <w:tmpl w:val="ADB8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7054"/>
    <w:multiLevelType w:val="multilevel"/>
    <w:tmpl w:val="134C9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06A15"/>
    <w:multiLevelType w:val="hybridMultilevel"/>
    <w:tmpl w:val="1D468C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53D2"/>
    <w:multiLevelType w:val="singleLevel"/>
    <w:tmpl w:val="FFFFFFFF"/>
    <w:lvl w:ilvl="0">
      <w:numFmt w:val="decimal"/>
      <w:lvlText w:val="*"/>
      <w:lvlJc w:val="left"/>
    </w:lvl>
  </w:abstractNum>
  <w:abstractNum w:abstractNumId="7" w15:restartNumberingAfterBreak="0">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5661F9"/>
    <w:multiLevelType w:val="hybridMultilevel"/>
    <w:tmpl w:val="CB9228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A13FA7"/>
    <w:multiLevelType w:val="hybridMultilevel"/>
    <w:tmpl w:val="A30C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C3706"/>
    <w:multiLevelType w:val="hybridMultilevel"/>
    <w:tmpl w:val="0F28B8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2" w15:restartNumberingAfterBreak="0">
    <w:nsid w:val="1D701398"/>
    <w:multiLevelType w:val="multilevel"/>
    <w:tmpl w:val="C4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76E6F"/>
    <w:multiLevelType w:val="hybridMultilevel"/>
    <w:tmpl w:val="ED9C19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7" w15:restartNumberingAfterBreak="0">
    <w:nsid w:val="27547E65"/>
    <w:multiLevelType w:val="hybridMultilevel"/>
    <w:tmpl w:val="6A4E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23" w15:restartNumberingAfterBreak="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0E1A85"/>
    <w:multiLevelType w:val="hybridMultilevel"/>
    <w:tmpl w:val="7C0C66E2"/>
    <w:lvl w:ilvl="0" w:tplc="0409000F">
      <w:start w:val="1"/>
      <w:numFmt w:val="decimal"/>
      <w:lvlText w:val="%1."/>
      <w:lvlJc w:val="left"/>
      <w:pPr>
        <w:ind w:left="720" w:hanging="360"/>
      </w:pPr>
    </w:lvl>
    <w:lvl w:ilvl="1" w:tplc="4EE896BE">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29" w15:restartNumberingAfterBreak="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1" w15:restartNumberingAfterBreak="0">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7814C5"/>
    <w:multiLevelType w:val="hybridMultilevel"/>
    <w:tmpl w:val="806C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9D4EF6"/>
    <w:multiLevelType w:val="hybridMultilevel"/>
    <w:tmpl w:val="CE50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913E9"/>
    <w:multiLevelType w:val="multilevel"/>
    <w:tmpl w:val="1652A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18027F"/>
    <w:multiLevelType w:val="hybridMultilevel"/>
    <w:tmpl w:val="E00A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abstractNum w:abstractNumId="38"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3319201">
    <w:abstractNumId w:val="37"/>
  </w:num>
  <w:num w:numId="2" w16cid:durableId="1227179754">
    <w:abstractNumId w:val="25"/>
  </w:num>
  <w:num w:numId="3" w16cid:durableId="1296787805">
    <w:abstractNumId w:val="1"/>
  </w:num>
  <w:num w:numId="4" w16cid:durableId="272396809">
    <w:abstractNumId w:val="27"/>
  </w:num>
  <w:num w:numId="5" w16cid:durableId="115219802">
    <w:abstractNumId w:val="20"/>
  </w:num>
  <w:num w:numId="6" w16cid:durableId="1025668837">
    <w:abstractNumId w:val="28"/>
  </w:num>
  <w:num w:numId="7" w16cid:durableId="959067373">
    <w:abstractNumId w:val="22"/>
  </w:num>
  <w:num w:numId="8" w16cid:durableId="6299633">
    <w:abstractNumId w:val="31"/>
  </w:num>
  <w:num w:numId="9" w16cid:durableId="1487161754">
    <w:abstractNumId w:val="11"/>
  </w:num>
  <w:num w:numId="10" w16cid:durableId="837813966">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16cid:durableId="199441628">
    <w:abstractNumId w:val="15"/>
  </w:num>
  <w:num w:numId="12" w16cid:durableId="1158619895">
    <w:abstractNumId w:val="26"/>
  </w:num>
  <w:num w:numId="13" w16cid:durableId="1446388517">
    <w:abstractNumId w:val="19"/>
  </w:num>
  <w:num w:numId="14" w16cid:durableId="479422494">
    <w:abstractNumId w:val="29"/>
  </w:num>
  <w:num w:numId="15" w16cid:durableId="536821176">
    <w:abstractNumId w:val="14"/>
  </w:num>
  <w:num w:numId="16" w16cid:durableId="232392469">
    <w:abstractNumId w:val="21"/>
  </w:num>
  <w:num w:numId="17" w16cid:durableId="1211113037">
    <w:abstractNumId w:val="23"/>
  </w:num>
  <w:num w:numId="18" w16cid:durableId="1567838186">
    <w:abstractNumId w:val="33"/>
  </w:num>
  <w:num w:numId="19" w16cid:durableId="1660035484">
    <w:abstractNumId w:val="7"/>
  </w:num>
  <w:num w:numId="20" w16cid:durableId="1854689097">
    <w:abstractNumId w:val="16"/>
  </w:num>
  <w:num w:numId="21" w16cid:durableId="1913543570">
    <w:abstractNumId w:val="6"/>
  </w:num>
  <w:num w:numId="22" w16cid:durableId="536896834">
    <w:abstractNumId w:val="2"/>
  </w:num>
  <w:num w:numId="23" w16cid:durableId="175658390">
    <w:abstractNumId w:val="30"/>
  </w:num>
  <w:num w:numId="24" w16cid:durableId="518547778">
    <w:abstractNumId w:val="18"/>
  </w:num>
  <w:num w:numId="25" w16cid:durableId="1844543122">
    <w:abstractNumId w:val="38"/>
  </w:num>
  <w:num w:numId="26" w16cid:durableId="1844391416">
    <w:abstractNumId w:val="34"/>
  </w:num>
  <w:num w:numId="27" w16cid:durableId="184369810">
    <w:abstractNumId w:val="10"/>
  </w:num>
  <w:num w:numId="28" w16cid:durableId="501243036">
    <w:abstractNumId w:val="5"/>
  </w:num>
  <w:num w:numId="29" w16cid:durableId="1418021916">
    <w:abstractNumId w:val="8"/>
  </w:num>
  <w:num w:numId="30" w16cid:durableId="1900288852">
    <w:abstractNumId w:val="13"/>
  </w:num>
  <w:num w:numId="31" w16cid:durableId="1205410770">
    <w:abstractNumId w:val="4"/>
  </w:num>
  <w:num w:numId="32" w16cid:durableId="271132985">
    <w:abstractNumId w:val="12"/>
  </w:num>
  <w:num w:numId="33" w16cid:durableId="2077824476">
    <w:abstractNumId w:val="35"/>
  </w:num>
  <w:num w:numId="34" w16cid:durableId="2003314496">
    <w:abstractNumId w:val="17"/>
  </w:num>
  <w:num w:numId="35" w16cid:durableId="1391348823">
    <w:abstractNumId w:val="36"/>
  </w:num>
  <w:num w:numId="36" w16cid:durableId="1670184">
    <w:abstractNumId w:val="9"/>
  </w:num>
  <w:num w:numId="37" w16cid:durableId="190458440">
    <w:abstractNumId w:val="3"/>
  </w:num>
  <w:num w:numId="38" w16cid:durableId="588394346">
    <w:abstractNumId w:val="32"/>
  </w:num>
  <w:num w:numId="39" w16cid:durableId="4250769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78"/>
    <w:rsid w:val="0000074E"/>
    <w:rsid w:val="00003103"/>
    <w:rsid w:val="00003CAF"/>
    <w:rsid w:val="0000434F"/>
    <w:rsid w:val="000058AC"/>
    <w:rsid w:val="000103E2"/>
    <w:rsid w:val="00010A5B"/>
    <w:rsid w:val="00012D8C"/>
    <w:rsid w:val="00013E34"/>
    <w:rsid w:val="0001462B"/>
    <w:rsid w:val="00014F61"/>
    <w:rsid w:val="0001607D"/>
    <w:rsid w:val="000161E7"/>
    <w:rsid w:val="0001680A"/>
    <w:rsid w:val="00020152"/>
    <w:rsid w:val="00022634"/>
    <w:rsid w:val="000229A0"/>
    <w:rsid w:val="000229CC"/>
    <w:rsid w:val="000229E0"/>
    <w:rsid w:val="00022E65"/>
    <w:rsid w:val="00025124"/>
    <w:rsid w:val="00025A23"/>
    <w:rsid w:val="00025DE1"/>
    <w:rsid w:val="00026A18"/>
    <w:rsid w:val="00026AF7"/>
    <w:rsid w:val="00026DA8"/>
    <w:rsid w:val="00026F3C"/>
    <w:rsid w:val="0002738B"/>
    <w:rsid w:val="00030D4F"/>
    <w:rsid w:val="00032753"/>
    <w:rsid w:val="00032FF0"/>
    <w:rsid w:val="00033B6E"/>
    <w:rsid w:val="00033FE4"/>
    <w:rsid w:val="00035FF5"/>
    <w:rsid w:val="00036F09"/>
    <w:rsid w:val="0003720A"/>
    <w:rsid w:val="00041E4D"/>
    <w:rsid w:val="00043BD6"/>
    <w:rsid w:val="000468D1"/>
    <w:rsid w:val="00047EAA"/>
    <w:rsid w:val="00052092"/>
    <w:rsid w:val="00053505"/>
    <w:rsid w:val="000536A9"/>
    <w:rsid w:val="00056AEF"/>
    <w:rsid w:val="00057621"/>
    <w:rsid w:val="00057F0C"/>
    <w:rsid w:val="0006053D"/>
    <w:rsid w:val="00062062"/>
    <w:rsid w:val="00062930"/>
    <w:rsid w:val="00065F3B"/>
    <w:rsid w:val="00067EF3"/>
    <w:rsid w:val="0007089E"/>
    <w:rsid w:val="00071B87"/>
    <w:rsid w:val="00075E4F"/>
    <w:rsid w:val="00075EAF"/>
    <w:rsid w:val="000766F8"/>
    <w:rsid w:val="00077728"/>
    <w:rsid w:val="000815E3"/>
    <w:rsid w:val="0008424F"/>
    <w:rsid w:val="00084FB2"/>
    <w:rsid w:val="000878C5"/>
    <w:rsid w:val="00090DC4"/>
    <w:rsid w:val="0009233A"/>
    <w:rsid w:val="000938E2"/>
    <w:rsid w:val="00093E24"/>
    <w:rsid w:val="000965D1"/>
    <w:rsid w:val="00097EFC"/>
    <w:rsid w:val="000A1F6D"/>
    <w:rsid w:val="000A3698"/>
    <w:rsid w:val="000A3E0D"/>
    <w:rsid w:val="000A4C50"/>
    <w:rsid w:val="000A6E0B"/>
    <w:rsid w:val="000A7FB1"/>
    <w:rsid w:val="000B168C"/>
    <w:rsid w:val="000C0BC3"/>
    <w:rsid w:val="000C334C"/>
    <w:rsid w:val="000C7D99"/>
    <w:rsid w:val="000C7F43"/>
    <w:rsid w:val="000D0C78"/>
    <w:rsid w:val="000D13C1"/>
    <w:rsid w:val="000D2200"/>
    <w:rsid w:val="000D38ED"/>
    <w:rsid w:val="000D635F"/>
    <w:rsid w:val="000E2583"/>
    <w:rsid w:val="000E4ADF"/>
    <w:rsid w:val="000E578D"/>
    <w:rsid w:val="000E589B"/>
    <w:rsid w:val="000E5FF4"/>
    <w:rsid w:val="000E78C4"/>
    <w:rsid w:val="000F0012"/>
    <w:rsid w:val="000F0C16"/>
    <w:rsid w:val="000F11F4"/>
    <w:rsid w:val="000F1EB5"/>
    <w:rsid w:val="000F3C74"/>
    <w:rsid w:val="000F4BDF"/>
    <w:rsid w:val="000F4EEC"/>
    <w:rsid w:val="000F5062"/>
    <w:rsid w:val="000F577A"/>
    <w:rsid w:val="000F7034"/>
    <w:rsid w:val="000F7DD4"/>
    <w:rsid w:val="0010004E"/>
    <w:rsid w:val="0010056D"/>
    <w:rsid w:val="00104E58"/>
    <w:rsid w:val="00104E9C"/>
    <w:rsid w:val="00105EF0"/>
    <w:rsid w:val="0010616D"/>
    <w:rsid w:val="00106ABD"/>
    <w:rsid w:val="001076F0"/>
    <w:rsid w:val="00110EBC"/>
    <w:rsid w:val="001111C2"/>
    <w:rsid w:val="001123DA"/>
    <w:rsid w:val="00113353"/>
    <w:rsid w:val="0011461F"/>
    <w:rsid w:val="001155EA"/>
    <w:rsid w:val="001157CD"/>
    <w:rsid w:val="001218E1"/>
    <w:rsid w:val="00126FD0"/>
    <w:rsid w:val="001272EA"/>
    <w:rsid w:val="001306C9"/>
    <w:rsid w:val="0013270A"/>
    <w:rsid w:val="001334D3"/>
    <w:rsid w:val="0013372D"/>
    <w:rsid w:val="001339B9"/>
    <w:rsid w:val="0013613F"/>
    <w:rsid w:val="00137AFC"/>
    <w:rsid w:val="00137D8A"/>
    <w:rsid w:val="00141CB9"/>
    <w:rsid w:val="0014277A"/>
    <w:rsid w:val="0014421E"/>
    <w:rsid w:val="00144230"/>
    <w:rsid w:val="00145AFA"/>
    <w:rsid w:val="00151504"/>
    <w:rsid w:val="001540F3"/>
    <w:rsid w:val="00154FBD"/>
    <w:rsid w:val="001559FA"/>
    <w:rsid w:val="00155DC0"/>
    <w:rsid w:val="001576F0"/>
    <w:rsid w:val="001606F6"/>
    <w:rsid w:val="00162F4E"/>
    <w:rsid w:val="00164282"/>
    <w:rsid w:val="00164A70"/>
    <w:rsid w:val="00165858"/>
    <w:rsid w:val="00166C0B"/>
    <w:rsid w:val="00166FFF"/>
    <w:rsid w:val="00171EA3"/>
    <w:rsid w:val="00172B53"/>
    <w:rsid w:val="00172CBB"/>
    <w:rsid w:val="001733DF"/>
    <w:rsid w:val="00175FFB"/>
    <w:rsid w:val="00176935"/>
    <w:rsid w:val="00177542"/>
    <w:rsid w:val="00177BE0"/>
    <w:rsid w:val="001804FE"/>
    <w:rsid w:val="00182DA6"/>
    <w:rsid w:val="001834DC"/>
    <w:rsid w:val="001845DB"/>
    <w:rsid w:val="00185EA8"/>
    <w:rsid w:val="0019039C"/>
    <w:rsid w:val="00191B55"/>
    <w:rsid w:val="00193ADC"/>
    <w:rsid w:val="00193B7A"/>
    <w:rsid w:val="00194C29"/>
    <w:rsid w:val="0019571A"/>
    <w:rsid w:val="00196542"/>
    <w:rsid w:val="00196D26"/>
    <w:rsid w:val="001A020E"/>
    <w:rsid w:val="001A15EE"/>
    <w:rsid w:val="001A19D6"/>
    <w:rsid w:val="001A2E56"/>
    <w:rsid w:val="001A32A6"/>
    <w:rsid w:val="001A3606"/>
    <w:rsid w:val="001A3620"/>
    <w:rsid w:val="001A46F2"/>
    <w:rsid w:val="001A5460"/>
    <w:rsid w:val="001A5F5E"/>
    <w:rsid w:val="001A7435"/>
    <w:rsid w:val="001B0D2B"/>
    <w:rsid w:val="001B1201"/>
    <w:rsid w:val="001B2198"/>
    <w:rsid w:val="001B44D4"/>
    <w:rsid w:val="001B54CF"/>
    <w:rsid w:val="001B5BF4"/>
    <w:rsid w:val="001B6DCB"/>
    <w:rsid w:val="001C25AA"/>
    <w:rsid w:val="001C3492"/>
    <w:rsid w:val="001C3E49"/>
    <w:rsid w:val="001C4480"/>
    <w:rsid w:val="001C5525"/>
    <w:rsid w:val="001C6905"/>
    <w:rsid w:val="001C7F7C"/>
    <w:rsid w:val="001D1BAB"/>
    <w:rsid w:val="001D3D94"/>
    <w:rsid w:val="001D4216"/>
    <w:rsid w:val="001D48AB"/>
    <w:rsid w:val="001D5D4A"/>
    <w:rsid w:val="001D65EC"/>
    <w:rsid w:val="001D79E3"/>
    <w:rsid w:val="001E07BF"/>
    <w:rsid w:val="001E2F30"/>
    <w:rsid w:val="001E3C96"/>
    <w:rsid w:val="001E3DF9"/>
    <w:rsid w:val="001E4485"/>
    <w:rsid w:val="001E45D3"/>
    <w:rsid w:val="001E5A80"/>
    <w:rsid w:val="001E690E"/>
    <w:rsid w:val="001E6AC2"/>
    <w:rsid w:val="001E782C"/>
    <w:rsid w:val="001F6F3E"/>
    <w:rsid w:val="002004BF"/>
    <w:rsid w:val="00200C63"/>
    <w:rsid w:val="00201537"/>
    <w:rsid w:val="002030B8"/>
    <w:rsid w:val="002050EE"/>
    <w:rsid w:val="0020553E"/>
    <w:rsid w:val="002066C6"/>
    <w:rsid w:val="00207341"/>
    <w:rsid w:val="00207347"/>
    <w:rsid w:val="002077A3"/>
    <w:rsid w:val="00211354"/>
    <w:rsid w:val="00212EA4"/>
    <w:rsid w:val="002203B3"/>
    <w:rsid w:val="0022048D"/>
    <w:rsid w:val="002222DE"/>
    <w:rsid w:val="00224F21"/>
    <w:rsid w:val="00225230"/>
    <w:rsid w:val="0022524D"/>
    <w:rsid w:val="0022655D"/>
    <w:rsid w:val="00226ACE"/>
    <w:rsid w:val="0022743B"/>
    <w:rsid w:val="0023247F"/>
    <w:rsid w:val="002325BD"/>
    <w:rsid w:val="00233280"/>
    <w:rsid w:val="0023649B"/>
    <w:rsid w:val="00240A9F"/>
    <w:rsid w:val="0024291C"/>
    <w:rsid w:val="002467FB"/>
    <w:rsid w:val="002479EA"/>
    <w:rsid w:val="00251AF5"/>
    <w:rsid w:val="00251D41"/>
    <w:rsid w:val="00253E46"/>
    <w:rsid w:val="00253EB4"/>
    <w:rsid w:val="00255A59"/>
    <w:rsid w:val="00257D48"/>
    <w:rsid w:val="00260246"/>
    <w:rsid w:val="00260C0B"/>
    <w:rsid w:val="00264A79"/>
    <w:rsid w:val="0026512F"/>
    <w:rsid w:val="00265E11"/>
    <w:rsid w:val="002745D5"/>
    <w:rsid w:val="00274B44"/>
    <w:rsid w:val="00274C19"/>
    <w:rsid w:val="00274FFD"/>
    <w:rsid w:val="0027675A"/>
    <w:rsid w:val="00277C57"/>
    <w:rsid w:val="002809D0"/>
    <w:rsid w:val="002812EF"/>
    <w:rsid w:val="00281F58"/>
    <w:rsid w:val="00282DBA"/>
    <w:rsid w:val="002850E4"/>
    <w:rsid w:val="0028600F"/>
    <w:rsid w:val="00287EA7"/>
    <w:rsid w:val="002904F1"/>
    <w:rsid w:val="00291731"/>
    <w:rsid w:val="00293C48"/>
    <w:rsid w:val="00295817"/>
    <w:rsid w:val="002960E4"/>
    <w:rsid w:val="002967F4"/>
    <w:rsid w:val="00297A16"/>
    <w:rsid w:val="002A1C18"/>
    <w:rsid w:val="002A2B46"/>
    <w:rsid w:val="002A596E"/>
    <w:rsid w:val="002A7B59"/>
    <w:rsid w:val="002B1007"/>
    <w:rsid w:val="002B3013"/>
    <w:rsid w:val="002B3091"/>
    <w:rsid w:val="002B3A47"/>
    <w:rsid w:val="002B4F9F"/>
    <w:rsid w:val="002B54A5"/>
    <w:rsid w:val="002B7599"/>
    <w:rsid w:val="002C2002"/>
    <w:rsid w:val="002C269D"/>
    <w:rsid w:val="002C27DB"/>
    <w:rsid w:val="002C679F"/>
    <w:rsid w:val="002D0487"/>
    <w:rsid w:val="002D09DE"/>
    <w:rsid w:val="002D234F"/>
    <w:rsid w:val="002D27FC"/>
    <w:rsid w:val="002D3213"/>
    <w:rsid w:val="002D6B9E"/>
    <w:rsid w:val="002D7647"/>
    <w:rsid w:val="002E0259"/>
    <w:rsid w:val="002E108B"/>
    <w:rsid w:val="002E2AAE"/>
    <w:rsid w:val="002E2E16"/>
    <w:rsid w:val="002E3AAD"/>
    <w:rsid w:val="002E3B6D"/>
    <w:rsid w:val="002E53EA"/>
    <w:rsid w:val="002E6F1F"/>
    <w:rsid w:val="002E7157"/>
    <w:rsid w:val="002E7974"/>
    <w:rsid w:val="002F1953"/>
    <w:rsid w:val="002F4D26"/>
    <w:rsid w:val="002F5E73"/>
    <w:rsid w:val="00301B17"/>
    <w:rsid w:val="00302454"/>
    <w:rsid w:val="00302768"/>
    <w:rsid w:val="00303038"/>
    <w:rsid w:val="00303762"/>
    <w:rsid w:val="0030517F"/>
    <w:rsid w:val="0030558C"/>
    <w:rsid w:val="0030589E"/>
    <w:rsid w:val="00306686"/>
    <w:rsid w:val="003075EF"/>
    <w:rsid w:val="00311BE1"/>
    <w:rsid w:val="00312F88"/>
    <w:rsid w:val="003132E8"/>
    <w:rsid w:val="00313BFB"/>
    <w:rsid w:val="003146FA"/>
    <w:rsid w:val="00315164"/>
    <w:rsid w:val="0031623A"/>
    <w:rsid w:val="00316EF6"/>
    <w:rsid w:val="00317023"/>
    <w:rsid w:val="0031717B"/>
    <w:rsid w:val="00317560"/>
    <w:rsid w:val="00320E48"/>
    <w:rsid w:val="003210CC"/>
    <w:rsid w:val="00323785"/>
    <w:rsid w:val="00323912"/>
    <w:rsid w:val="00324057"/>
    <w:rsid w:val="0032499A"/>
    <w:rsid w:val="00326997"/>
    <w:rsid w:val="00326F2A"/>
    <w:rsid w:val="00330384"/>
    <w:rsid w:val="00333FFF"/>
    <w:rsid w:val="00334157"/>
    <w:rsid w:val="00334466"/>
    <w:rsid w:val="00334B93"/>
    <w:rsid w:val="00336410"/>
    <w:rsid w:val="003364A3"/>
    <w:rsid w:val="00336B3A"/>
    <w:rsid w:val="00337BC3"/>
    <w:rsid w:val="0034016A"/>
    <w:rsid w:val="0034022E"/>
    <w:rsid w:val="00344673"/>
    <w:rsid w:val="003446AE"/>
    <w:rsid w:val="00346DAD"/>
    <w:rsid w:val="003508C7"/>
    <w:rsid w:val="003529E2"/>
    <w:rsid w:val="00354554"/>
    <w:rsid w:val="003562E2"/>
    <w:rsid w:val="00357597"/>
    <w:rsid w:val="00360F26"/>
    <w:rsid w:val="00361778"/>
    <w:rsid w:val="0036214F"/>
    <w:rsid w:val="00363289"/>
    <w:rsid w:val="00365566"/>
    <w:rsid w:val="003657F0"/>
    <w:rsid w:val="00367E2D"/>
    <w:rsid w:val="00370C54"/>
    <w:rsid w:val="00370F9A"/>
    <w:rsid w:val="003712B8"/>
    <w:rsid w:val="0037197F"/>
    <w:rsid w:val="003824FE"/>
    <w:rsid w:val="003828BB"/>
    <w:rsid w:val="0038310C"/>
    <w:rsid w:val="003851BB"/>
    <w:rsid w:val="00385E0C"/>
    <w:rsid w:val="00386583"/>
    <w:rsid w:val="003868EA"/>
    <w:rsid w:val="00387094"/>
    <w:rsid w:val="0038758C"/>
    <w:rsid w:val="003919D7"/>
    <w:rsid w:val="00391AA5"/>
    <w:rsid w:val="00392EEE"/>
    <w:rsid w:val="00393E85"/>
    <w:rsid w:val="003946D2"/>
    <w:rsid w:val="00394CCF"/>
    <w:rsid w:val="003959D8"/>
    <w:rsid w:val="00396362"/>
    <w:rsid w:val="00396B80"/>
    <w:rsid w:val="00396BAC"/>
    <w:rsid w:val="00397195"/>
    <w:rsid w:val="003A0893"/>
    <w:rsid w:val="003A0D4D"/>
    <w:rsid w:val="003A1E02"/>
    <w:rsid w:val="003A2147"/>
    <w:rsid w:val="003A316A"/>
    <w:rsid w:val="003A3E08"/>
    <w:rsid w:val="003A5189"/>
    <w:rsid w:val="003A6276"/>
    <w:rsid w:val="003A6AF5"/>
    <w:rsid w:val="003A6E79"/>
    <w:rsid w:val="003A7642"/>
    <w:rsid w:val="003A783D"/>
    <w:rsid w:val="003B09C4"/>
    <w:rsid w:val="003B0E75"/>
    <w:rsid w:val="003B2B54"/>
    <w:rsid w:val="003B2CD5"/>
    <w:rsid w:val="003B34B7"/>
    <w:rsid w:val="003B4724"/>
    <w:rsid w:val="003B54DA"/>
    <w:rsid w:val="003C03DE"/>
    <w:rsid w:val="003C1444"/>
    <w:rsid w:val="003C1D2F"/>
    <w:rsid w:val="003C2AB2"/>
    <w:rsid w:val="003C3132"/>
    <w:rsid w:val="003C40D9"/>
    <w:rsid w:val="003C6F05"/>
    <w:rsid w:val="003C7D5D"/>
    <w:rsid w:val="003D0A51"/>
    <w:rsid w:val="003D0FEC"/>
    <w:rsid w:val="003D27B3"/>
    <w:rsid w:val="003D50C4"/>
    <w:rsid w:val="003D68D4"/>
    <w:rsid w:val="003D6CB6"/>
    <w:rsid w:val="003D700F"/>
    <w:rsid w:val="003E064C"/>
    <w:rsid w:val="003E1A5C"/>
    <w:rsid w:val="003E210F"/>
    <w:rsid w:val="003E26EB"/>
    <w:rsid w:val="003E2999"/>
    <w:rsid w:val="003E3832"/>
    <w:rsid w:val="003E3AB9"/>
    <w:rsid w:val="003E3ABB"/>
    <w:rsid w:val="003E48C8"/>
    <w:rsid w:val="003E4E0A"/>
    <w:rsid w:val="003E5EC6"/>
    <w:rsid w:val="003E6672"/>
    <w:rsid w:val="003F15A8"/>
    <w:rsid w:val="003F2176"/>
    <w:rsid w:val="003F237F"/>
    <w:rsid w:val="003F3D0B"/>
    <w:rsid w:val="003F3DF3"/>
    <w:rsid w:val="003F3E55"/>
    <w:rsid w:val="003F5502"/>
    <w:rsid w:val="003F5D74"/>
    <w:rsid w:val="003F5F10"/>
    <w:rsid w:val="00400095"/>
    <w:rsid w:val="00402E35"/>
    <w:rsid w:val="00403EF4"/>
    <w:rsid w:val="0041118C"/>
    <w:rsid w:val="00411427"/>
    <w:rsid w:val="004119B6"/>
    <w:rsid w:val="00411D04"/>
    <w:rsid w:val="00411D99"/>
    <w:rsid w:val="004141B8"/>
    <w:rsid w:val="00414596"/>
    <w:rsid w:val="00414BB7"/>
    <w:rsid w:val="004175A7"/>
    <w:rsid w:val="00417850"/>
    <w:rsid w:val="00417B45"/>
    <w:rsid w:val="004206BA"/>
    <w:rsid w:val="0042070A"/>
    <w:rsid w:val="00423D1D"/>
    <w:rsid w:val="0042401C"/>
    <w:rsid w:val="0042489C"/>
    <w:rsid w:val="00425797"/>
    <w:rsid w:val="004257D6"/>
    <w:rsid w:val="00427AD7"/>
    <w:rsid w:val="00427B14"/>
    <w:rsid w:val="0043000F"/>
    <w:rsid w:val="00432A69"/>
    <w:rsid w:val="00433EE5"/>
    <w:rsid w:val="004347E2"/>
    <w:rsid w:val="00436D2F"/>
    <w:rsid w:val="00440230"/>
    <w:rsid w:val="004420B1"/>
    <w:rsid w:val="00444A95"/>
    <w:rsid w:val="00444E79"/>
    <w:rsid w:val="00445CB1"/>
    <w:rsid w:val="004465A3"/>
    <w:rsid w:val="004470EC"/>
    <w:rsid w:val="00451DF2"/>
    <w:rsid w:val="00454179"/>
    <w:rsid w:val="0045604E"/>
    <w:rsid w:val="00460A7C"/>
    <w:rsid w:val="00461699"/>
    <w:rsid w:val="00461F84"/>
    <w:rsid w:val="00462C21"/>
    <w:rsid w:val="0046369B"/>
    <w:rsid w:val="00465274"/>
    <w:rsid w:val="0046665D"/>
    <w:rsid w:val="00467C81"/>
    <w:rsid w:val="004712DD"/>
    <w:rsid w:val="00471AAF"/>
    <w:rsid w:val="004726E5"/>
    <w:rsid w:val="00472B0C"/>
    <w:rsid w:val="00474FFE"/>
    <w:rsid w:val="00475025"/>
    <w:rsid w:val="0047514D"/>
    <w:rsid w:val="00475DAA"/>
    <w:rsid w:val="00476E81"/>
    <w:rsid w:val="00477FA0"/>
    <w:rsid w:val="0048234B"/>
    <w:rsid w:val="00482502"/>
    <w:rsid w:val="00484EC3"/>
    <w:rsid w:val="00484FE7"/>
    <w:rsid w:val="00485D39"/>
    <w:rsid w:val="00486F48"/>
    <w:rsid w:val="0049088D"/>
    <w:rsid w:val="00491544"/>
    <w:rsid w:val="004926B7"/>
    <w:rsid w:val="004940FC"/>
    <w:rsid w:val="00495334"/>
    <w:rsid w:val="00495E3E"/>
    <w:rsid w:val="00496951"/>
    <w:rsid w:val="0049761B"/>
    <w:rsid w:val="004A1959"/>
    <w:rsid w:val="004A22D7"/>
    <w:rsid w:val="004A4904"/>
    <w:rsid w:val="004A4D19"/>
    <w:rsid w:val="004A5215"/>
    <w:rsid w:val="004A6C4B"/>
    <w:rsid w:val="004B0499"/>
    <w:rsid w:val="004B1BB0"/>
    <w:rsid w:val="004B2305"/>
    <w:rsid w:val="004B44D0"/>
    <w:rsid w:val="004B7548"/>
    <w:rsid w:val="004B75D2"/>
    <w:rsid w:val="004C0925"/>
    <w:rsid w:val="004C2CD3"/>
    <w:rsid w:val="004C2DB0"/>
    <w:rsid w:val="004C2ED8"/>
    <w:rsid w:val="004C2F9D"/>
    <w:rsid w:val="004C387D"/>
    <w:rsid w:val="004C4103"/>
    <w:rsid w:val="004C7CC0"/>
    <w:rsid w:val="004D109B"/>
    <w:rsid w:val="004D2554"/>
    <w:rsid w:val="004D3867"/>
    <w:rsid w:val="004D5D78"/>
    <w:rsid w:val="004D60C0"/>
    <w:rsid w:val="004E3EE8"/>
    <w:rsid w:val="004E511C"/>
    <w:rsid w:val="004E77BD"/>
    <w:rsid w:val="004E7ACE"/>
    <w:rsid w:val="004F0E2D"/>
    <w:rsid w:val="004F25FA"/>
    <w:rsid w:val="004F3899"/>
    <w:rsid w:val="004F4591"/>
    <w:rsid w:val="005000D3"/>
    <w:rsid w:val="00502831"/>
    <w:rsid w:val="00502E95"/>
    <w:rsid w:val="00503FE8"/>
    <w:rsid w:val="00504D6B"/>
    <w:rsid w:val="005060ED"/>
    <w:rsid w:val="005063A8"/>
    <w:rsid w:val="00506530"/>
    <w:rsid w:val="00506D4C"/>
    <w:rsid w:val="00507AAB"/>
    <w:rsid w:val="00507FC4"/>
    <w:rsid w:val="005107E5"/>
    <w:rsid w:val="00510FF0"/>
    <w:rsid w:val="00512DE0"/>
    <w:rsid w:val="0051364C"/>
    <w:rsid w:val="00514AB9"/>
    <w:rsid w:val="005154ED"/>
    <w:rsid w:val="00515DBB"/>
    <w:rsid w:val="00516186"/>
    <w:rsid w:val="0051721F"/>
    <w:rsid w:val="005173DB"/>
    <w:rsid w:val="005204D7"/>
    <w:rsid w:val="005214B7"/>
    <w:rsid w:val="00521EFB"/>
    <w:rsid w:val="0052269D"/>
    <w:rsid w:val="00522BE9"/>
    <w:rsid w:val="0052320B"/>
    <w:rsid w:val="00525311"/>
    <w:rsid w:val="005257B0"/>
    <w:rsid w:val="00526E4C"/>
    <w:rsid w:val="0053163A"/>
    <w:rsid w:val="005326E0"/>
    <w:rsid w:val="00532CDF"/>
    <w:rsid w:val="00532D2C"/>
    <w:rsid w:val="00532D86"/>
    <w:rsid w:val="00533735"/>
    <w:rsid w:val="00534293"/>
    <w:rsid w:val="0053541A"/>
    <w:rsid w:val="005355A3"/>
    <w:rsid w:val="00537128"/>
    <w:rsid w:val="00543235"/>
    <w:rsid w:val="00543EE7"/>
    <w:rsid w:val="005458B6"/>
    <w:rsid w:val="00545EED"/>
    <w:rsid w:val="005464B5"/>
    <w:rsid w:val="00547721"/>
    <w:rsid w:val="0055430B"/>
    <w:rsid w:val="0055506A"/>
    <w:rsid w:val="00557DC4"/>
    <w:rsid w:val="00557E5D"/>
    <w:rsid w:val="0056085F"/>
    <w:rsid w:val="005613B7"/>
    <w:rsid w:val="0056200C"/>
    <w:rsid w:val="005628A6"/>
    <w:rsid w:val="00562AD7"/>
    <w:rsid w:val="00564E88"/>
    <w:rsid w:val="005668A2"/>
    <w:rsid w:val="00567140"/>
    <w:rsid w:val="005705F3"/>
    <w:rsid w:val="00573015"/>
    <w:rsid w:val="00574539"/>
    <w:rsid w:val="005759A7"/>
    <w:rsid w:val="00575F16"/>
    <w:rsid w:val="005820DE"/>
    <w:rsid w:val="00585340"/>
    <w:rsid w:val="005871BE"/>
    <w:rsid w:val="0059053C"/>
    <w:rsid w:val="005920B7"/>
    <w:rsid w:val="00592F80"/>
    <w:rsid w:val="005933C2"/>
    <w:rsid w:val="00593A6F"/>
    <w:rsid w:val="005942C7"/>
    <w:rsid w:val="00595B40"/>
    <w:rsid w:val="00595E44"/>
    <w:rsid w:val="005A0EA6"/>
    <w:rsid w:val="005A0FAA"/>
    <w:rsid w:val="005A1157"/>
    <w:rsid w:val="005A1783"/>
    <w:rsid w:val="005A1B43"/>
    <w:rsid w:val="005A2D48"/>
    <w:rsid w:val="005A2EF4"/>
    <w:rsid w:val="005A3930"/>
    <w:rsid w:val="005A5D9D"/>
    <w:rsid w:val="005B2162"/>
    <w:rsid w:val="005B35F6"/>
    <w:rsid w:val="005B4423"/>
    <w:rsid w:val="005B526D"/>
    <w:rsid w:val="005B69A1"/>
    <w:rsid w:val="005B7B87"/>
    <w:rsid w:val="005C1612"/>
    <w:rsid w:val="005C25D7"/>
    <w:rsid w:val="005C2E08"/>
    <w:rsid w:val="005C3623"/>
    <w:rsid w:val="005C3852"/>
    <w:rsid w:val="005C42A7"/>
    <w:rsid w:val="005C46F9"/>
    <w:rsid w:val="005C6146"/>
    <w:rsid w:val="005C6F7B"/>
    <w:rsid w:val="005C7BCB"/>
    <w:rsid w:val="005D157B"/>
    <w:rsid w:val="005D193F"/>
    <w:rsid w:val="005D2914"/>
    <w:rsid w:val="005D2B86"/>
    <w:rsid w:val="005D31EA"/>
    <w:rsid w:val="005D40AC"/>
    <w:rsid w:val="005D428E"/>
    <w:rsid w:val="005D5001"/>
    <w:rsid w:val="005D5167"/>
    <w:rsid w:val="005D54EF"/>
    <w:rsid w:val="005D6CA2"/>
    <w:rsid w:val="005D7248"/>
    <w:rsid w:val="005D72AB"/>
    <w:rsid w:val="005E2219"/>
    <w:rsid w:val="005E3037"/>
    <w:rsid w:val="005E4C09"/>
    <w:rsid w:val="005E50CA"/>
    <w:rsid w:val="005E5247"/>
    <w:rsid w:val="005E695C"/>
    <w:rsid w:val="005E7786"/>
    <w:rsid w:val="005F2D46"/>
    <w:rsid w:val="005F3C6A"/>
    <w:rsid w:val="005F5471"/>
    <w:rsid w:val="005F6BB1"/>
    <w:rsid w:val="005F7ED2"/>
    <w:rsid w:val="00600043"/>
    <w:rsid w:val="00600B28"/>
    <w:rsid w:val="00601279"/>
    <w:rsid w:val="00601BAE"/>
    <w:rsid w:val="006025E7"/>
    <w:rsid w:val="00602BF2"/>
    <w:rsid w:val="00602D5C"/>
    <w:rsid w:val="00605949"/>
    <w:rsid w:val="00607BA3"/>
    <w:rsid w:val="006128CC"/>
    <w:rsid w:val="00613992"/>
    <w:rsid w:val="00614F99"/>
    <w:rsid w:val="006160BC"/>
    <w:rsid w:val="006161B7"/>
    <w:rsid w:val="00621BDD"/>
    <w:rsid w:val="00623B94"/>
    <w:rsid w:val="006315B6"/>
    <w:rsid w:val="00633442"/>
    <w:rsid w:val="00633EE7"/>
    <w:rsid w:val="00634B06"/>
    <w:rsid w:val="0063606D"/>
    <w:rsid w:val="00636458"/>
    <w:rsid w:val="006365EF"/>
    <w:rsid w:val="00640E32"/>
    <w:rsid w:val="00642666"/>
    <w:rsid w:val="00642CCF"/>
    <w:rsid w:val="006442B0"/>
    <w:rsid w:val="00644834"/>
    <w:rsid w:val="00645221"/>
    <w:rsid w:val="0064532E"/>
    <w:rsid w:val="00645ECC"/>
    <w:rsid w:val="00645F9F"/>
    <w:rsid w:val="006521FB"/>
    <w:rsid w:val="00653351"/>
    <w:rsid w:val="00656C2C"/>
    <w:rsid w:val="006576B8"/>
    <w:rsid w:val="00657AA8"/>
    <w:rsid w:val="00661499"/>
    <w:rsid w:val="00662D80"/>
    <w:rsid w:val="00663266"/>
    <w:rsid w:val="0066551E"/>
    <w:rsid w:val="0066587E"/>
    <w:rsid w:val="00665DEC"/>
    <w:rsid w:val="006669F6"/>
    <w:rsid w:val="00667B99"/>
    <w:rsid w:val="00667E72"/>
    <w:rsid w:val="006708E9"/>
    <w:rsid w:val="0067449B"/>
    <w:rsid w:val="0067527F"/>
    <w:rsid w:val="00675343"/>
    <w:rsid w:val="006779A5"/>
    <w:rsid w:val="0068257B"/>
    <w:rsid w:val="00682B95"/>
    <w:rsid w:val="00682E25"/>
    <w:rsid w:val="00683512"/>
    <w:rsid w:val="00683AC0"/>
    <w:rsid w:val="00684084"/>
    <w:rsid w:val="006843D7"/>
    <w:rsid w:val="006849FF"/>
    <w:rsid w:val="00685731"/>
    <w:rsid w:val="00687085"/>
    <w:rsid w:val="006870E9"/>
    <w:rsid w:val="0068755F"/>
    <w:rsid w:val="00690402"/>
    <w:rsid w:val="00692E72"/>
    <w:rsid w:val="0069370B"/>
    <w:rsid w:val="00693C4E"/>
    <w:rsid w:val="006948B1"/>
    <w:rsid w:val="006948F6"/>
    <w:rsid w:val="00695E35"/>
    <w:rsid w:val="006A0FBB"/>
    <w:rsid w:val="006A1C3F"/>
    <w:rsid w:val="006A2A72"/>
    <w:rsid w:val="006A5B09"/>
    <w:rsid w:val="006B0572"/>
    <w:rsid w:val="006B1AC1"/>
    <w:rsid w:val="006B1ED0"/>
    <w:rsid w:val="006B3F01"/>
    <w:rsid w:val="006B56D7"/>
    <w:rsid w:val="006B5ECE"/>
    <w:rsid w:val="006C0779"/>
    <w:rsid w:val="006C183A"/>
    <w:rsid w:val="006C2D31"/>
    <w:rsid w:val="006C3D85"/>
    <w:rsid w:val="006C4D1A"/>
    <w:rsid w:val="006C5F67"/>
    <w:rsid w:val="006D14EA"/>
    <w:rsid w:val="006D2934"/>
    <w:rsid w:val="006D358B"/>
    <w:rsid w:val="006D35F4"/>
    <w:rsid w:val="006D401A"/>
    <w:rsid w:val="006D791B"/>
    <w:rsid w:val="006D7DCF"/>
    <w:rsid w:val="006E1509"/>
    <w:rsid w:val="006E2BC4"/>
    <w:rsid w:val="006E36AA"/>
    <w:rsid w:val="006E39C8"/>
    <w:rsid w:val="006E541A"/>
    <w:rsid w:val="006E60EB"/>
    <w:rsid w:val="006E7D41"/>
    <w:rsid w:val="006F4552"/>
    <w:rsid w:val="006F5413"/>
    <w:rsid w:val="006F5E84"/>
    <w:rsid w:val="006F7AED"/>
    <w:rsid w:val="00700615"/>
    <w:rsid w:val="00704A27"/>
    <w:rsid w:val="007053A1"/>
    <w:rsid w:val="007053D3"/>
    <w:rsid w:val="00706348"/>
    <w:rsid w:val="007110B7"/>
    <w:rsid w:val="0071648C"/>
    <w:rsid w:val="0071684F"/>
    <w:rsid w:val="007169E0"/>
    <w:rsid w:val="00716B87"/>
    <w:rsid w:val="00716F08"/>
    <w:rsid w:val="007202FB"/>
    <w:rsid w:val="00720FBD"/>
    <w:rsid w:val="007216FE"/>
    <w:rsid w:val="00722CD4"/>
    <w:rsid w:val="00724141"/>
    <w:rsid w:val="00724336"/>
    <w:rsid w:val="00725C08"/>
    <w:rsid w:val="00726741"/>
    <w:rsid w:val="0073284E"/>
    <w:rsid w:val="007329E3"/>
    <w:rsid w:val="00736540"/>
    <w:rsid w:val="00737A64"/>
    <w:rsid w:val="00741232"/>
    <w:rsid w:val="00741C97"/>
    <w:rsid w:val="00743B53"/>
    <w:rsid w:val="007446FD"/>
    <w:rsid w:val="00744959"/>
    <w:rsid w:val="0074586C"/>
    <w:rsid w:val="00745A91"/>
    <w:rsid w:val="007474DC"/>
    <w:rsid w:val="00750F05"/>
    <w:rsid w:val="00752B93"/>
    <w:rsid w:val="00753C08"/>
    <w:rsid w:val="007548CF"/>
    <w:rsid w:val="00754E17"/>
    <w:rsid w:val="00756750"/>
    <w:rsid w:val="00756A90"/>
    <w:rsid w:val="00757CAC"/>
    <w:rsid w:val="00760289"/>
    <w:rsid w:val="00760730"/>
    <w:rsid w:val="00760AAA"/>
    <w:rsid w:val="00760B0F"/>
    <w:rsid w:val="007621FC"/>
    <w:rsid w:val="0076423C"/>
    <w:rsid w:val="00764EA3"/>
    <w:rsid w:val="007652ED"/>
    <w:rsid w:val="00766669"/>
    <w:rsid w:val="00767E38"/>
    <w:rsid w:val="0077065A"/>
    <w:rsid w:val="00770F11"/>
    <w:rsid w:val="007718DF"/>
    <w:rsid w:val="00771C54"/>
    <w:rsid w:val="00773199"/>
    <w:rsid w:val="00773AC1"/>
    <w:rsid w:val="00774159"/>
    <w:rsid w:val="00774469"/>
    <w:rsid w:val="007750D1"/>
    <w:rsid w:val="00776E0C"/>
    <w:rsid w:val="0078078A"/>
    <w:rsid w:val="00781821"/>
    <w:rsid w:val="00785FE2"/>
    <w:rsid w:val="007904A4"/>
    <w:rsid w:val="0079080E"/>
    <w:rsid w:val="00794B16"/>
    <w:rsid w:val="00795ABC"/>
    <w:rsid w:val="00795E38"/>
    <w:rsid w:val="00795E44"/>
    <w:rsid w:val="007965B1"/>
    <w:rsid w:val="007A2637"/>
    <w:rsid w:val="007A461E"/>
    <w:rsid w:val="007A48E3"/>
    <w:rsid w:val="007A709B"/>
    <w:rsid w:val="007B079E"/>
    <w:rsid w:val="007B141D"/>
    <w:rsid w:val="007B1EBA"/>
    <w:rsid w:val="007B2117"/>
    <w:rsid w:val="007B27D8"/>
    <w:rsid w:val="007B3487"/>
    <w:rsid w:val="007B586D"/>
    <w:rsid w:val="007B5BB2"/>
    <w:rsid w:val="007B68A2"/>
    <w:rsid w:val="007B6DF7"/>
    <w:rsid w:val="007C0387"/>
    <w:rsid w:val="007C0A1F"/>
    <w:rsid w:val="007C2E26"/>
    <w:rsid w:val="007C3830"/>
    <w:rsid w:val="007C4131"/>
    <w:rsid w:val="007C4340"/>
    <w:rsid w:val="007C56CE"/>
    <w:rsid w:val="007C6E08"/>
    <w:rsid w:val="007C71E8"/>
    <w:rsid w:val="007D1EBB"/>
    <w:rsid w:val="007D33DD"/>
    <w:rsid w:val="007D4C40"/>
    <w:rsid w:val="007D604D"/>
    <w:rsid w:val="007D72C7"/>
    <w:rsid w:val="007E01DA"/>
    <w:rsid w:val="007E0330"/>
    <w:rsid w:val="007E1871"/>
    <w:rsid w:val="007E3E7C"/>
    <w:rsid w:val="007E41B3"/>
    <w:rsid w:val="007E6704"/>
    <w:rsid w:val="007E70AD"/>
    <w:rsid w:val="007F0B91"/>
    <w:rsid w:val="007F7EBB"/>
    <w:rsid w:val="00801B20"/>
    <w:rsid w:val="008033E3"/>
    <w:rsid w:val="00803F6D"/>
    <w:rsid w:val="00807F58"/>
    <w:rsid w:val="00812810"/>
    <w:rsid w:val="00812BAC"/>
    <w:rsid w:val="0081373E"/>
    <w:rsid w:val="0081562B"/>
    <w:rsid w:val="00816464"/>
    <w:rsid w:val="00817D0B"/>
    <w:rsid w:val="00817E3A"/>
    <w:rsid w:val="00820449"/>
    <w:rsid w:val="00821AA1"/>
    <w:rsid w:val="0082242F"/>
    <w:rsid w:val="00822F4E"/>
    <w:rsid w:val="00823C2B"/>
    <w:rsid w:val="008252CB"/>
    <w:rsid w:val="008253F5"/>
    <w:rsid w:val="00834413"/>
    <w:rsid w:val="008349FC"/>
    <w:rsid w:val="00835B63"/>
    <w:rsid w:val="00836EB6"/>
    <w:rsid w:val="008411E5"/>
    <w:rsid w:val="008442AA"/>
    <w:rsid w:val="00844C9F"/>
    <w:rsid w:val="008459CC"/>
    <w:rsid w:val="00846669"/>
    <w:rsid w:val="008501C4"/>
    <w:rsid w:val="00851555"/>
    <w:rsid w:val="0085170D"/>
    <w:rsid w:val="00852132"/>
    <w:rsid w:val="00853621"/>
    <w:rsid w:val="00854E8E"/>
    <w:rsid w:val="00855EA4"/>
    <w:rsid w:val="008605E3"/>
    <w:rsid w:val="00863C60"/>
    <w:rsid w:val="00865818"/>
    <w:rsid w:val="00870A71"/>
    <w:rsid w:val="008727A1"/>
    <w:rsid w:val="008769B7"/>
    <w:rsid w:val="00877F06"/>
    <w:rsid w:val="00881695"/>
    <w:rsid w:val="008818E3"/>
    <w:rsid w:val="0088495E"/>
    <w:rsid w:val="0088574B"/>
    <w:rsid w:val="008869DA"/>
    <w:rsid w:val="008875AE"/>
    <w:rsid w:val="008918EE"/>
    <w:rsid w:val="00892D9C"/>
    <w:rsid w:val="00893581"/>
    <w:rsid w:val="008974BE"/>
    <w:rsid w:val="00897530"/>
    <w:rsid w:val="008A0380"/>
    <w:rsid w:val="008A0C0D"/>
    <w:rsid w:val="008A16C7"/>
    <w:rsid w:val="008A176F"/>
    <w:rsid w:val="008A20B9"/>
    <w:rsid w:val="008A2684"/>
    <w:rsid w:val="008A2BC2"/>
    <w:rsid w:val="008A60DD"/>
    <w:rsid w:val="008A6D5A"/>
    <w:rsid w:val="008B14F0"/>
    <w:rsid w:val="008B38DE"/>
    <w:rsid w:val="008B4997"/>
    <w:rsid w:val="008B4FCC"/>
    <w:rsid w:val="008B6B6F"/>
    <w:rsid w:val="008B6D9E"/>
    <w:rsid w:val="008B6F89"/>
    <w:rsid w:val="008B7DBA"/>
    <w:rsid w:val="008C11F3"/>
    <w:rsid w:val="008C2F43"/>
    <w:rsid w:val="008C36CC"/>
    <w:rsid w:val="008C561B"/>
    <w:rsid w:val="008C61A8"/>
    <w:rsid w:val="008C7441"/>
    <w:rsid w:val="008D0847"/>
    <w:rsid w:val="008D10A7"/>
    <w:rsid w:val="008D1D03"/>
    <w:rsid w:val="008D5F83"/>
    <w:rsid w:val="008D6D75"/>
    <w:rsid w:val="008D7CD7"/>
    <w:rsid w:val="008E103E"/>
    <w:rsid w:val="008E2E73"/>
    <w:rsid w:val="008E49E2"/>
    <w:rsid w:val="008E4EE7"/>
    <w:rsid w:val="008E69F6"/>
    <w:rsid w:val="008E6B2A"/>
    <w:rsid w:val="008F016E"/>
    <w:rsid w:val="008F06BF"/>
    <w:rsid w:val="008F0ACB"/>
    <w:rsid w:val="008F2239"/>
    <w:rsid w:val="008F5D47"/>
    <w:rsid w:val="008F7BB9"/>
    <w:rsid w:val="008F7C9D"/>
    <w:rsid w:val="00900188"/>
    <w:rsid w:val="00900A46"/>
    <w:rsid w:val="0090277D"/>
    <w:rsid w:val="00905042"/>
    <w:rsid w:val="009055F2"/>
    <w:rsid w:val="00906909"/>
    <w:rsid w:val="00907D28"/>
    <w:rsid w:val="00907F7B"/>
    <w:rsid w:val="00910471"/>
    <w:rsid w:val="00910924"/>
    <w:rsid w:val="00910A0C"/>
    <w:rsid w:val="00911B1D"/>
    <w:rsid w:val="00911BEA"/>
    <w:rsid w:val="00912BA6"/>
    <w:rsid w:val="00914D85"/>
    <w:rsid w:val="00915CFB"/>
    <w:rsid w:val="00915E02"/>
    <w:rsid w:val="00915F3F"/>
    <w:rsid w:val="00915F77"/>
    <w:rsid w:val="009175F5"/>
    <w:rsid w:val="00917B03"/>
    <w:rsid w:val="009207C9"/>
    <w:rsid w:val="009211BF"/>
    <w:rsid w:val="00921F57"/>
    <w:rsid w:val="00922461"/>
    <w:rsid w:val="0092393C"/>
    <w:rsid w:val="009245E1"/>
    <w:rsid w:val="0092483B"/>
    <w:rsid w:val="009265E3"/>
    <w:rsid w:val="00926F5B"/>
    <w:rsid w:val="00936711"/>
    <w:rsid w:val="00940AE3"/>
    <w:rsid w:val="00941FDD"/>
    <w:rsid w:val="00942AFD"/>
    <w:rsid w:val="009434A7"/>
    <w:rsid w:val="00945350"/>
    <w:rsid w:val="0094549D"/>
    <w:rsid w:val="00945C93"/>
    <w:rsid w:val="00946232"/>
    <w:rsid w:val="00946683"/>
    <w:rsid w:val="00946925"/>
    <w:rsid w:val="00947E1E"/>
    <w:rsid w:val="009524D3"/>
    <w:rsid w:val="00952E11"/>
    <w:rsid w:val="00952FC4"/>
    <w:rsid w:val="00953A8B"/>
    <w:rsid w:val="00955028"/>
    <w:rsid w:val="00960D60"/>
    <w:rsid w:val="00961F8E"/>
    <w:rsid w:val="00962DEA"/>
    <w:rsid w:val="0096364B"/>
    <w:rsid w:val="0096369F"/>
    <w:rsid w:val="0096410E"/>
    <w:rsid w:val="009658F2"/>
    <w:rsid w:val="00966DE0"/>
    <w:rsid w:val="0097229C"/>
    <w:rsid w:val="00972E29"/>
    <w:rsid w:val="009754F1"/>
    <w:rsid w:val="00980C6F"/>
    <w:rsid w:val="00980C70"/>
    <w:rsid w:val="0098138D"/>
    <w:rsid w:val="00981B2A"/>
    <w:rsid w:val="009839C9"/>
    <w:rsid w:val="00985874"/>
    <w:rsid w:val="009902DA"/>
    <w:rsid w:val="00991A7E"/>
    <w:rsid w:val="009928C0"/>
    <w:rsid w:val="00993675"/>
    <w:rsid w:val="00993A35"/>
    <w:rsid w:val="00993D57"/>
    <w:rsid w:val="00994669"/>
    <w:rsid w:val="00995CFE"/>
    <w:rsid w:val="009960A6"/>
    <w:rsid w:val="00996649"/>
    <w:rsid w:val="0099703C"/>
    <w:rsid w:val="009A4EE8"/>
    <w:rsid w:val="009B2FB7"/>
    <w:rsid w:val="009B32BC"/>
    <w:rsid w:val="009B49DE"/>
    <w:rsid w:val="009B52FE"/>
    <w:rsid w:val="009B699E"/>
    <w:rsid w:val="009B7277"/>
    <w:rsid w:val="009B7443"/>
    <w:rsid w:val="009B7AEC"/>
    <w:rsid w:val="009C1916"/>
    <w:rsid w:val="009C3A67"/>
    <w:rsid w:val="009C5984"/>
    <w:rsid w:val="009C6076"/>
    <w:rsid w:val="009C7312"/>
    <w:rsid w:val="009C741E"/>
    <w:rsid w:val="009D040A"/>
    <w:rsid w:val="009D0707"/>
    <w:rsid w:val="009D2BFB"/>
    <w:rsid w:val="009D3362"/>
    <w:rsid w:val="009D6152"/>
    <w:rsid w:val="009D6813"/>
    <w:rsid w:val="009D7812"/>
    <w:rsid w:val="009E01AD"/>
    <w:rsid w:val="009E35C8"/>
    <w:rsid w:val="009E4806"/>
    <w:rsid w:val="009E5518"/>
    <w:rsid w:val="009E5A8F"/>
    <w:rsid w:val="009E5F07"/>
    <w:rsid w:val="009F06D6"/>
    <w:rsid w:val="009F1332"/>
    <w:rsid w:val="009F19FC"/>
    <w:rsid w:val="009F33E3"/>
    <w:rsid w:val="009F3790"/>
    <w:rsid w:val="009F3D43"/>
    <w:rsid w:val="009F4ED9"/>
    <w:rsid w:val="009F5DFE"/>
    <w:rsid w:val="009F71CC"/>
    <w:rsid w:val="009F7CC0"/>
    <w:rsid w:val="00A015FF"/>
    <w:rsid w:val="00A02239"/>
    <w:rsid w:val="00A0223B"/>
    <w:rsid w:val="00A02E15"/>
    <w:rsid w:val="00A05115"/>
    <w:rsid w:val="00A055B0"/>
    <w:rsid w:val="00A05CE2"/>
    <w:rsid w:val="00A06C4A"/>
    <w:rsid w:val="00A10AAF"/>
    <w:rsid w:val="00A10D01"/>
    <w:rsid w:val="00A10E3B"/>
    <w:rsid w:val="00A10FB0"/>
    <w:rsid w:val="00A11DB7"/>
    <w:rsid w:val="00A135B6"/>
    <w:rsid w:val="00A13B4D"/>
    <w:rsid w:val="00A14DC8"/>
    <w:rsid w:val="00A15A30"/>
    <w:rsid w:val="00A1754F"/>
    <w:rsid w:val="00A17554"/>
    <w:rsid w:val="00A2327D"/>
    <w:rsid w:val="00A23590"/>
    <w:rsid w:val="00A23848"/>
    <w:rsid w:val="00A25AE4"/>
    <w:rsid w:val="00A27A2C"/>
    <w:rsid w:val="00A31890"/>
    <w:rsid w:val="00A32E04"/>
    <w:rsid w:val="00A33A86"/>
    <w:rsid w:val="00A3535B"/>
    <w:rsid w:val="00A35E36"/>
    <w:rsid w:val="00A3637D"/>
    <w:rsid w:val="00A36A5E"/>
    <w:rsid w:val="00A36DBC"/>
    <w:rsid w:val="00A37CFD"/>
    <w:rsid w:val="00A40738"/>
    <w:rsid w:val="00A413AE"/>
    <w:rsid w:val="00A436E4"/>
    <w:rsid w:val="00A45290"/>
    <w:rsid w:val="00A51533"/>
    <w:rsid w:val="00A53076"/>
    <w:rsid w:val="00A53209"/>
    <w:rsid w:val="00A5635D"/>
    <w:rsid w:val="00A61582"/>
    <w:rsid w:val="00A63568"/>
    <w:rsid w:val="00A63E67"/>
    <w:rsid w:val="00A64223"/>
    <w:rsid w:val="00A652B4"/>
    <w:rsid w:val="00A6547F"/>
    <w:rsid w:val="00A659C6"/>
    <w:rsid w:val="00A66F76"/>
    <w:rsid w:val="00A7291A"/>
    <w:rsid w:val="00A7535F"/>
    <w:rsid w:val="00A75A43"/>
    <w:rsid w:val="00A7717D"/>
    <w:rsid w:val="00A81130"/>
    <w:rsid w:val="00A845D7"/>
    <w:rsid w:val="00A870FA"/>
    <w:rsid w:val="00A90F65"/>
    <w:rsid w:val="00A924DD"/>
    <w:rsid w:val="00A94B4A"/>
    <w:rsid w:val="00A96685"/>
    <w:rsid w:val="00A96946"/>
    <w:rsid w:val="00A9758C"/>
    <w:rsid w:val="00AA100B"/>
    <w:rsid w:val="00AA3834"/>
    <w:rsid w:val="00AA4179"/>
    <w:rsid w:val="00AA4727"/>
    <w:rsid w:val="00AA47C0"/>
    <w:rsid w:val="00AA5EE7"/>
    <w:rsid w:val="00AA649C"/>
    <w:rsid w:val="00AA64D0"/>
    <w:rsid w:val="00AB0199"/>
    <w:rsid w:val="00AB148F"/>
    <w:rsid w:val="00AB175C"/>
    <w:rsid w:val="00AB7A14"/>
    <w:rsid w:val="00AB7C0E"/>
    <w:rsid w:val="00AB7F8E"/>
    <w:rsid w:val="00AC1F8F"/>
    <w:rsid w:val="00AC79B3"/>
    <w:rsid w:val="00AD0DE5"/>
    <w:rsid w:val="00AD0F8F"/>
    <w:rsid w:val="00AD5EBB"/>
    <w:rsid w:val="00AD7188"/>
    <w:rsid w:val="00AE151E"/>
    <w:rsid w:val="00AE1B85"/>
    <w:rsid w:val="00AE332F"/>
    <w:rsid w:val="00AE35A3"/>
    <w:rsid w:val="00AE54CA"/>
    <w:rsid w:val="00AE57F1"/>
    <w:rsid w:val="00AE669C"/>
    <w:rsid w:val="00AE76AD"/>
    <w:rsid w:val="00AF26DF"/>
    <w:rsid w:val="00AF5800"/>
    <w:rsid w:val="00AF7E9D"/>
    <w:rsid w:val="00B000BC"/>
    <w:rsid w:val="00B027AD"/>
    <w:rsid w:val="00B03266"/>
    <w:rsid w:val="00B03650"/>
    <w:rsid w:val="00B03D60"/>
    <w:rsid w:val="00B15D93"/>
    <w:rsid w:val="00B16336"/>
    <w:rsid w:val="00B210EF"/>
    <w:rsid w:val="00B21D69"/>
    <w:rsid w:val="00B2265C"/>
    <w:rsid w:val="00B24750"/>
    <w:rsid w:val="00B24D59"/>
    <w:rsid w:val="00B2576E"/>
    <w:rsid w:val="00B30D9F"/>
    <w:rsid w:val="00B32462"/>
    <w:rsid w:val="00B325F5"/>
    <w:rsid w:val="00B35073"/>
    <w:rsid w:val="00B35F73"/>
    <w:rsid w:val="00B377F5"/>
    <w:rsid w:val="00B37C23"/>
    <w:rsid w:val="00B37D7C"/>
    <w:rsid w:val="00B40842"/>
    <w:rsid w:val="00B4182F"/>
    <w:rsid w:val="00B42FD8"/>
    <w:rsid w:val="00B437F3"/>
    <w:rsid w:val="00B4670B"/>
    <w:rsid w:val="00B4681A"/>
    <w:rsid w:val="00B47177"/>
    <w:rsid w:val="00B51000"/>
    <w:rsid w:val="00B532BA"/>
    <w:rsid w:val="00B577ED"/>
    <w:rsid w:val="00B579E5"/>
    <w:rsid w:val="00B57B32"/>
    <w:rsid w:val="00B62980"/>
    <w:rsid w:val="00B64227"/>
    <w:rsid w:val="00B65131"/>
    <w:rsid w:val="00B65619"/>
    <w:rsid w:val="00B6605D"/>
    <w:rsid w:val="00B70C06"/>
    <w:rsid w:val="00B71198"/>
    <w:rsid w:val="00B77559"/>
    <w:rsid w:val="00B804B4"/>
    <w:rsid w:val="00B82F09"/>
    <w:rsid w:val="00B83731"/>
    <w:rsid w:val="00B84234"/>
    <w:rsid w:val="00B84470"/>
    <w:rsid w:val="00B84CB0"/>
    <w:rsid w:val="00B85F21"/>
    <w:rsid w:val="00B87D23"/>
    <w:rsid w:val="00B917D8"/>
    <w:rsid w:val="00B91C6A"/>
    <w:rsid w:val="00B92B4C"/>
    <w:rsid w:val="00B92D1A"/>
    <w:rsid w:val="00B92FC2"/>
    <w:rsid w:val="00B9398E"/>
    <w:rsid w:val="00B9486F"/>
    <w:rsid w:val="00B95EB3"/>
    <w:rsid w:val="00B97A98"/>
    <w:rsid w:val="00B97CF7"/>
    <w:rsid w:val="00BA0A2C"/>
    <w:rsid w:val="00BA4460"/>
    <w:rsid w:val="00BA4ECD"/>
    <w:rsid w:val="00BA75BC"/>
    <w:rsid w:val="00BB026E"/>
    <w:rsid w:val="00BB3E58"/>
    <w:rsid w:val="00BB3E61"/>
    <w:rsid w:val="00BB4A87"/>
    <w:rsid w:val="00BB6482"/>
    <w:rsid w:val="00BB6534"/>
    <w:rsid w:val="00BB6D97"/>
    <w:rsid w:val="00BB7334"/>
    <w:rsid w:val="00BC06B5"/>
    <w:rsid w:val="00BC0AFE"/>
    <w:rsid w:val="00BC2409"/>
    <w:rsid w:val="00BC2886"/>
    <w:rsid w:val="00BC507E"/>
    <w:rsid w:val="00BC5A4B"/>
    <w:rsid w:val="00BC5BE3"/>
    <w:rsid w:val="00BC651B"/>
    <w:rsid w:val="00BC7113"/>
    <w:rsid w:val="00BC7ED4"/>
    <w:rsid w:val="00BD1656"/>
    <w:rsid w:val="00BD17E5"/>
    <w:rsid w:val="00BD2440"/>
    <w:rsid w:val="00BD5D50"/>
    <w:rsid w:val="00BD72D3"/>
    <w:rsid w:val="00BD7489"/>
    <w:rsid w:val="00BE01F2"/>
    <w:rsid w:val="00BE0F86"/>
    <w:rsid w:val="00BE2A26"/>
    <w:rsid w:val="00BE3613"/>
    <w:rsid w:val="00BE3B4C"/>
    <w:rsid w:val="00BE3F1A"/>
    <w:rsid w:val="00BE4A30"/>
    <w:rsid w:val="00BE5366"/>
    <w:rsid w:val="00BE6767"/>
    <w:rsid w:val="00BF0089"/>
    <w:rsid w:val="00BF01AC"/>
    <w:rsid w:val="00BF2582"/>
    <w:rsid w:val="00BF2C9E"/>
    <w:rsid w:val="00BF60C0"/>
    <w:rsid w:val="00BF650D"/>
    <w:rsid w:val="00C01C1B"/>
    <w:rsid w:val="00C03D4C"/>
    <w:rsid w:val="00C063FD"/>
    <w:rsid w:val="00C06428"/>
    <w:rsid w:val="00C112E4"/>
    <w:rsid w:val="00C16D41"/>
    <w:rsid w:val="00C1759A"/>
    <w:rsid w:val="00C2001D"/>
    <w:rsid w:val="00C2190A"/>
    <w:rsid w:val="00C235B0"/>
    <w:rsid w:val="00C251F1"/>
    <w:rsid w:val="00C3183A"/>
    <w:rsid w:val="00C31A1C"/>
    <w:rsid w:val="00C33038"/>
    <w:rsid w:val="00C34258"/>
    <w:rsid w:val="00C3692E"/>
    <w:rsid w:val="00C40831"/>
    <w:rsid w:val="00C4553F"/>
    <w:rsid w:val="00C51739"/>
    <w:rsid w:val="00C51C08"/>
    <w:rsid w:val="00C51D88"/>
    <w:rsid w:val="00C5471B"/>
    <w:rsid w:val="00C5584C"/>
    <w:rsid w:val="00C56B8A"/>
    <w:rsid w:val="00C622B7"/>
    <w:rsid w:val="00C62AED"/>
    <w:rsid w:val="00C640FD"/>
    <w:rsid w:val="00C66B4B"/>
    <w:rsid w:val="00C66ED3"/>
    <w:rsid w:val="00C7002B"/>
    <w:rsid w:val="00C707DA"/>
    <w:rsid w:val="00C70D23"/>
    <w:rsid w:val="00C714EC"/>
    <w:rsid w:val="00C74456"/>
    <w:rsid w:val="00C747D5"/>
    <w:rsid w:val="00C753A7"/>
    <w:rsid w:val="00C767AA"/>
    <w:rsid w:val="00C76848"/>
    <w:rsid w:val="00C777A2"/>
    <w:rsid w:val="00C81A66"/>
    <w:rsid w:val="00C82160"/>
    <w:rsid w:val="00C82531"/>
    <w:rsid w:val="00C82AC3"/>
    <w:rsid w:val="00C8556A"/>
    <w:rsid w:val="00C906F2"/>
    <w:rsid w:val="00C925B4"/>
    <w:rsid w:val="00C92DE6"/>
    <w:rsid w:val="00C96804"/>
    <w:rsid w:val="00C97EE9"/>
    <w:rsid w:val="00CA0CC5"/>
    <w:rsid w:val="00CA1F76"/>
    <w:rsid w:val="00CA2247"/>
    <w:rsid w:val="00CA497D"/>
    <w:rsid w:val="00CA4E7C"/>
    <w:rsid w:val="00CA5CB7"/>
    <w:rsid w:val="00CA6FE0"/>
    <w:rsid w:val="00CB09DE"/>
    <w:rsid w:val="00CB0C64"/>
    <w:rsid w:val="00CB18F3"/>
    <w:rsid w:val="00CB1B39"/>
    <w:rsid w:val="00CB20E0"/>
    <w:rsid w:val="00CB74E1"/>
    <w:rsid w:val="00CC07C3"/>
    <w:rsid w:val="00CC3A9C"/>
    <w:rsid w:val="00CC43A4"/>
    <w:rsid w:val="00CC51FE"/>
    <w:rsid w:val="00CC6696"/>
    <w:rsid w:val="00CD0720"/>
    <w:rsid w:val="00CD107E"/>
    <w:rsid w:val="00CD13B8"/>
    <w:rsid w:val="00CD27FE"/>
    <w:rsid w:val="00CD338C"/>
    <w:rsid w:val="00CD3418"/>
    <w:rsid w:val="00CD3D47"/>
    <w:rsid w:val="00CD47F5"/>
    <w:rsid w:val="00CE1657"/>
    <w:rsid w:val="00CE1818"/>
    <w:rsid w:val="00CE2E6A"/>
    <w:rsid w:val="00CE4824"/>
    <w:rsid w:val="00CE509D"/>
    <w:rsid w:val="00CE54D7"/>
    <w:rsid w:val="00CE5E54"/>
    <w:rsid w:val="00CE6CDD"/>
    <w:rsid w:val="00CF0458"/>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27A8"/>
    <w:rsid w:val="00D22D35"/>
    <w:rsid w:val="00D23DB3"/>
    <w:rsid w:val="00D23F49"/>
    <w:rsid w:val="00D30625"/>
    <w:rsid w:val="00D30E45"/>
    <w:rsid w:val="00D3100B"/>
    <w:rsid w:val="00D355DD"/>
    <w:rsid w:val="00D35C73"/>
    <w:rsid w:val="00D36091"/>
    <w:rsid w:val="00D36665"/>
    <w:rsid w:val="00D40AFD"/>
    <w:rsid w:val="00D43DE0"/>
    <w:rsid w:val="00D44481"/>
    <w:rsid w:val="00D458AC"/>
    <w:rsid w:val="00D47E0B"/>
    <w:rsid w:val="00D5028A"/>
    <w:rsid w:val="00D50805"/>
    <w:rsid w:val="00D5130F"/>
    <w:rsid w:val="00D549D5"/>
    <w:rsid w:val="00D557ED"/>
    <w:rsid w:val="00D560BD"/>
    <w:rsid w:val="00D60913"/>
    <w:rsid w:val="00D62751"/>
    <w:rsid w:val="00D62B0F"/>
    <w:rsid w:val="00D62BE8"/>
    <w:rsid w:val="00D707B0"/>
    <w:rsid w:val="00D70ECB"/>
    <w:rsid w:val="00D7246A"/>
    <w:rsid w:val="00D7258A"/>
    <w:rsid w:val="00D72844"/>
    <w:rsid w:val="00D73FB7"/>
    <w:rsid w:val="00D75408"/>
    <w:rsid w:val="00D776BB"/>
    <w:rsid w:val="00D77EBB"/>
    <w:rsid w:val="00D80037"/>
    <w:rsid w:val="00D814ED"/>
    <w:rsid w:val="00D81887"/>
    <w:rsid w:val="00D82CFD"/>
    <w:rsid w:val="00D831F8"/>
    <w:rsid w:val="00D832CD"/>
    <w:rsid w:val="00D83AF0"/>
    <w:rsid w:val="00D83D6B"/>
    <w:rsid w:val="00D84510"/>
    <w:rsid w:val="00D847C4"/>
    <w:rsid w:val="00D85333"/>
    <w:rsid w:val="00D85789"/>
    <w:rsid w:val="00D86100"/>
    <w:rsid w:val="00D86956"/>
    <w:rsid w:val="00D86A0D"/>
    <w:rsid w:val="00D8768A"/>
    <w:rsid w:val="00D91153"/>
    <w:rsid w:val="00D91195"/>
    <w:rsid w:val="00D91CF8"/>
    <w:rsid w:val="00D9247E"/>
    <w:rsid w:val="00D93B92"/>
    <w:rsid w:val="00D9643F"/>
    <w:rsid w:val="00D96447"/>
    <w:rsid w:val="00D96E2A"/>
    <w:rsid w:val="00D96FEF"/>
    <w:rsid w:val="00D974C0"/>
    <w:rsid w:val="00D97AF6"/>
    <w:rsid w:val="00DA00A6"/>
    <w:rsid w:val="00DA2515"/>
    <w:rsid w:val="00DA4DC5"/>
    <w:rsid w:val="00DA526D"/>
    <w:rsid w:val="00DA5D86"/>
    <w:rsid w:val="00DB0613"/>
    <w:rsid w:val="00DB1336"/>
    <w:rsid w:val="00DB1411"/>
    <w:rsid w:val="00DB5A1A"/>
    <w:rsid w:val="00DB7685"/>
    <w:rsid w:val="00DC0359"/>
    <w:rsid w:val="00DC0480"/>
    <w:rsid w:val="00DC0F0B"/>
    <w:rsid w:val="00DC13ED"/>
    <w:rsid w:val="00DC19D2"/>
    <w:rsid w:val="00DC3A78"/>
    <w:rsid w:val="00DC3D4B"/>
    <w:rsid w:val="00DC4F5A"/>
    <w:rsid w:val="00DC71AE"/>
    <w:rsid w:val="00DD03F7"/>
    <w:rsid w:val="00DD0A64"/>
    <w:rsid w:val="00DD0A76"/>
    <w:rsid w:val="00DD1147"/>
    <w:rsid w:val="00DD1A6E"/>
    <w:rsid w:val="00DD3CA6"/>
    <w:rsid w:val="00DD41D6"/>
    <w:rsid w:val="00DD44BE"/>
    <w:rsid w:val="00DD4FBB"/>
    <w:rsid w:val="00DD5131"/>
    <w:rsid w:val="00DD5F56"/>
    <w:rsid w:val="00DD6026"/>
    <w:rsid w:val="00DD63F2"/>
    <w:rsid w:val="00DE052B"/>
    <w:rsid w:val="00DE3259"/>
    <w:rsid w:val="00DE36B4"/>
    <w:rsid w:val="00DE3D53"/>
    <w:rsid w:val="00DE447E"/>
    <w:rsid w:val="00DE54E8"/>
    <w:rsid w:val="00DE6330"/>
    <w:rsid w:val="00DE71AE"/>
    <w:rsid w:val="00DF01E6"/>
    <w:rsid w:val="00DF2DA5"/>
    <w:rsid w:val="00DF3804"/>
    <w:rsid w:val="00DF4A9A"/>
    <w:rsid w:val="00DF51F0"/>
    <w:rsid w:val="00DF68A3"/>
    <w:rsid w:val="00DF72C1"/>
    <w:rsid w:val="00DF74D2"/>
    <w:rsid w:val="00DF7947"/>
    <w:rsid w:val="00E0142B"/>
    <w:rsid w:val="00E02694"/>
    <w:rsid w:val="00E03297"/>
    <w:rsid w:val="00E036C6"/>
    <w:rsid w:val="00E06A92"/>
    <w:rsid w:val="00E10C6B"/>
    <w:rsid w:val="00E10DAB"/>
    <w:rsid w:val="00E10E43"/>
    <w:rsid w:val="00E129BF"/>
    <w:rsid w:val="00E13736"/>
    <w:rsid w:val="00E13CFA"/>
    <w:rsid w:val="00E15FDE"/>
    <w:rsid w:val="00E161FC"/>
    <w:rsid w:val="00E163C2"/>
    <w:rsid w:val="00E16DED"/>
    <w:rsid w:val="00E206BA"/>
    <w:rsid w:val="00E207E0"/>
    <w:rsid w:val="00E2281D"/>
    <w:rsid w:val="00E238CC"/>
    <w:rsid w:val="00E240DA"/>
    <w:rsid w:val="00E253FC"/>
    <w:rsid w:val="00E25815"/>
    <w:rsid w:val="00E25F6E"/>
    <w:rsid w:val="00E27684"/>
    <w:rsid w:val="00E278AD"/>
    <w:rsid w:val="00E3031D"/>
    <w:rsid w:val="00E316B3"/>
    <w:rsid w:val="00E35273"/>
    <w:rsid w:val="00E37196"/>
    <w:rsid w:val="00E377AD"/>
    <w:rsid w:val="00E4000C"/>
    <w:rsid w:val="00E41103"/>
    <w:rsid w:val="00E43254"/>
    <w:rsid w:val="00E44673"/>
    <w:rsid w:val="00E45CC7"/>
    <w:rsid w:val="00E46605"/>
    <w:rsid w:val="00E476D3"/>
    <w:rsid w:val="00E50D2B"/>
    <w:rsid w:val="00E512E0"/>
    <w:rsid w:val="00E53704"/>
    <w:rsid w:val="00E53A83"/>
    <w:rsid w:val="00E53BDC"/>
    <w:rsid w:val="00E542F6"/>
    <w:rsid w:val="00E54891"/>
    <w:rsid w:val="00E54A94"/>
    <w:rsid w:val="00E55473"/>
    <w:rsid w:val="00E60973"/>
    <w:rsid w:val="00E6131F"/>
    <w:rsid w:val="00E6291F"/>
    <w:rsid w:val="00E62ED3"/>
    <w:rsid w:val="00E62F0F"/>
    <w:rsid w:val="00E62F8C"/>
    <w:rsid w:val="00E65A1A"/>
    <w:rsid w:val="00E66570"/>
    <w:rsid w:val="00E6665A"/>
    <w:rsid w:val="00E67829"/>
    <w:rsid w:val="00E7061A"/>
    <w:rsid w:val="00E74A9B"/>
    <w:rsid w:val="00E76A2A"/>
    <w:rsid w:val="00E77B9C"/>
    <w:rsid w:val="00E8003F"/>
    <w:rsid w:val="00E80F5F"/>
    <w:rsid w:val="00E818E7"/>
    <w:rsid w:val="00E8461F"/>
    <w:rsid w:val="00E853F0"/>
    <w:rsid w:val="00E86B22"/>
    <w:rsid w:val="00E904E9"/>
    <w:rsid w:val="00E946A6"/>
    <w:rsid w:val="00E96698"/>
    <w:rsid w:val="00E972CE"/>
    <w:rsid w:val="00E97370"/>
    <w:rsid w:val="00EA0107"/>
    <w:rsid w:val="00EA051D"/>
    <w:rsid w:val="00EA0CB8"/>
    <w:rsid w:val="00EA0D24"/>
    <w:rsid w:val="00EA1BCA"/>
    <w:rsid w:val="00EA1E18"/>
    <w:rsid w:val="00EA1FC4"/>
    <w:rsid w:val="00EA2081"/>
    <w:rsid w:val="00EA2FB4"/>
    <w:rsid w:val="00EA35BC"/>
    <w:rsid w:val="00EA3D20"/>
    <w:rsid w:val="00EA3E98"/>
    <w:rsid w:val="00EA6D2A"/>
    <w:rsid w:val="00EB1EF4"/>
    <w:rsid w:val="00EB54BA"/>
    <w:rsid w:val="00EB59AC"/>
    <w:rsid w:val="00EC1EB1"/>
    <w:rsid w:val="00ED068C"/>
    <w:rsid w:val="00ED10A5"/>
    <w:rsid w:val="00ED17F3"/>
    <w:rsid w:val="00ED1B45"/>
    <w:rsid w:val="00ED1D0A"/>
    <w:rsid w:val="00ED5A68"/>
    <w:rsid w:val="00ED70DA"/>
    <w:rsid w:val="00EE08FD"/>
    <w:rsid w:val="00EE1197"/>
    <w:rsid w:val="00EE20AD"/>
    <w:rsid w:val="00EE3967"/>
    <w:rsid w:val="00EE6BAE"/>
    <w:rsid w:val="00EE79AA"/>
    <w:rsid w:val="00EF2A29"/>
    <w:rsid w:val="00EF2AB8"/>
    <w:rsid w:val="00EF2AD3"/>
    <w:rsid w:val="00EF2DED"/>
    <w:rsid w:val="00EF4A66"/>
    <w:rsid w:val="00EF4E6B"/>
    <w:rsid w:val="00EF5217"/>
    <w:rsid w:val="00EF6516"/>
    <w:rsid w:val="00EF7848"/>
    <w:rsid w:val="00F02760"/>
    <w:rsid w:val="00F03D7D"/>
    <w:rsid w:val="00F1048F"/>
    <w:rsid w:val="00F12145"/>
    <w:rsid w:val="00F13010"/>
    <w:rsid w:val="00F140AE"/>
    <w:rsid w:val="00F16634"/>
    <w:rsid w:val="00F177F7"/>
    <w:rsid w:val="00F17864"/>
    <w:rsid w:val="00F21D1A"/>
    <w:rsid w:val="00F22647"/>
    <w:rsid w:val="00F22B1C"/>
    <w:rsid w:val="00F230BB"/>
    <w:rsid w:val="00F237D2"/>
    <w:rsid w:val="00F24F0D"/>
    <w:rsid w:val="00F25627"/>
    <w:rsid w:val="00F26567"/>
    <w:rsid w:val="00F26CB6"/>
    <w:rsid w:val="00F2763F"/>
    <w:rsid w:val="00F30214"/>
    <w:rsid w:val="00F30747"/>
    <w:rsid w:val="00F329D1"/>
    <w:rsid w:val="00F3320E"/>
    <w:rsid w:val="00F342E9"/>
    <w:rsid w:val="00F34BA9"/>
    <w:rsid w:val="00F3537F"/>
    <w:rsid w:val="00F37262"/>
    <w:rsid w:val="00F43286"/>
    <w:rsid w:val="00F43DB3"/>
    <w:rsid w:val="00F467E0"/>
    <w:rsid w:val="00F47AB1"/>
    <w:rsid w:val="00F50E31"/>
    <w:rsid w:val="00F514F5"/>
    <w:rsid w:val="00F51D16"/>
    <w:rsid w:val="00F52F48"/>
    <w:rsid w:val="00F569A3"/>
    <w:rsid w:val="00F5720F"/>
    <w:rsid w:val="00F606EF"/>
    <w:rsid w:val="00F630CE"/>
    <w:rsid w:val="00F63CBD"/>
    <w:rsid w:val="00F63FA5"/>
    <w:rsid w:val="00F64201"/>
    <w:rsid w:val="00F65C63"/>
    <w:rsid w:val="00F707F6"/>
    <w:rsid w:val="00F714B7"/>
    <w:rsid w:val="00F726EC"/>
    <w:rsid w:val="00F72F3E"/>
    <w:rsid w:val="00F73333"/>
    <w:rsid w:val="00F73EC4"/>
    <w:rsid w:val="00F7519F"/>
    <w:rsid w:val="00F7742C"/>
    <w:rsid w:val="00F810F1"/>
    <w:rsid w:val="00F83FBB"/>
    <w:rsid w:val="00F8503E"/>
    <w:rsid w:val="00F85478"/>
    <w:rsid w:val="00F870FB"/>
    <w:rsid w:val="00F8774C"/>
    <w:rsid w:val="00F87B3C"/>
    <w:rsid w:val="00F90306"/>
    <w:rsid w:val="00F91C76"/>
    <w:rsid w:val="00F92600"/>
    <w:rsid w:val="00F926C1"/>
    <w:rsid w:val="00F95DA3"/>
    <w:rsid w:val="00FA0DBF"/>
    <w:rsid w:val="00FA251B"/>
    <w:rsid w:val="00FA39D1"/>
    <w:rsid w:val="00FA511C"/>
    <w:rsid w:val="00FA5289"/>
    <w:rsid w:val="00FA64D9"/>
    <w:rsid w:val="00FA65B1"/>
    <w:rsid w:val="00FB57AD"/>
    <w:rsid w:val="00FB6339"/>
    <w:rsid w:val="00FB66F4"/>
    <w:rsid w:val="00FB7EB9"/>
    <w:rsid w:val="00FC0C28"/>
    <w:rsid w:val="00FC3C0F"/>
    <w:rsid w:val="00FC3EA7"/>
    <w:rsid w:val="00FC5FA7"/>
    <w:rsid w:val="00FC6E5E"/>
    <w:rsid w:val="00FC71E5"/>
    <w:rsid w:val="00FC72E7"/>
    <w:rsid w:val="00FD07CD"/>
    <w:rsid w:val="00FD097C"/>
    <w:rsid w:val="00FD0E6C"/>
    <w:rsid w:val="00FD1575"/>
    <w:rsid w:val="00FD205A"/>
    <w:rsid w:val="00FD355D"/>
    <w:rsid w:val="00FD426A"/>
    <w:rsid w:val="00FD51BB"/>
    <w:rsid w:val="00FD6BE8"/>
    <w:rsid w:val="00FE10AE"/>
    <w:rsid w:val="00FE1E08"/>
    <w:rsid w:val="00FE3003"/>
    <w:rsid w:val="00FE3ED4"/>
    <w:rsid w:val="00FE3FBB"/>
    <w:rsid w:val="00FE4667"/>
    <w:rsid w:val="00FE54D1"/>
    <w:rsid w:val="00FF0D7B"/>
    <w:rsid w:val="00FF41D1"/>
    <w:rsid w:val="00FF6DBD"/>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48E3F"/>
  <w15:docId w15:val="{2A90C83C-9314-4A83-9F65-0782D95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link w:val="Heading5Char"/>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 w:type="character" w:styleId="UnresolvedMention">
    <w:name w:val="Unresolved Mention"/>
    <w:basedOn w:val="DefaultParagraphFont"/>
    <w:uiPriority w:val="99"/>
    <w:semiHidden/>
    <w:unhideWhenUsed/>
    <w:rsid w:val="00B77559"/>
    <w:rPr>
      <w:color w:val="605E5C"/>
      <w:shd w:val="clear" w:color="auto" w:fill="E1DFDD"/>
    </w:rPr>
  </w:style>
  <w:style w:type="paragraph" w:styleId="Revision">
    <w:name w:val="Revision"/>
    <w:hidden/>
    <w:uiPriority w:val="99"/>
    <w:semiHidden/>
    <w:rsid w:val="00485D39"/>
    <w:rPr>
      <w:sz w:val="24"/>
    </w:rPr>
  </w:style>
  <w:style w:type="paragraph" w:styleId="HTMLPreformatted">
    <w:name w:val="HTML Preformatted"/>
    <w:basedOn w:val="Normal"/>
    <w:link w:val="HTMLPreformattedChar"/>
    <w:uiPriority w:val="99"/>
    <w:unhideWhenUsed/>
    <w:rsid w:val="0018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1845DB"/>
    <w:rPr>
      <w:rFonts w:ascii="Courier New" w:eastAsiaTheme="minorHAnsi" w:hAnsi="Courier New" w:cs="Courier New"/>
    </w:rPr>
  </w:style>
  <w:style w:type="character" w:customStyle="1" w:styleId="Heading5Char">
    <w:name w:val="Heading 5 Char"/>
    <w:aliases w:val="Block Label Char"/>
    <w:basedOn w:val="DefaultParagraphFont"/>
    <w:link w:val="Heading5"/>
    <w:rsid w:val="006576B8"/>
    <w:rPr>
      <w:b/>
      <w:sz w:val="22"/>
    </w:rPr>
  </w:style>
  <w:style w:type="character" w:customStyle="1" w:styleId="ui-provider">
    <w:name w:val="ui-provider"/>
    <w:basedOn w:val="DefaultParagraphFont"/>
    <w:rsid w:val="002E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264581272">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49278022">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713113613">
      <w:bodyDiv w:val="1"/>
      <w:marLeft w:val="0"/>
      <w:marRight w:val="0"/>
      <w:marTop w:val="0"/>
      <w:marBottom w:val="0"/>
      <w:divBdr>
        <w:top w:val="none" w:sz="0" w:space="0" w:color="auto"/>
        <w:left w:val="none" w:sz="0" w:space="0" w:color="auto"/>
        <w:bottom w:val="none" w:sz="0" w:space="0" w:color="auto"/>
        <w:right w:val="none" w:sz="0" w:space="0" w:color="auto"/>
      </w:divBdr>
    </w:div>
    <w:div w:id="914777585">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058824857">
      <w:bodyDiv w:val="1"/>
      <w:marLeft w:val="0"/>
      <w:marRight w:val="0"/>
      <w:marTop w:val="0"/>
      <w:marBottom w:val="0"/>
      <w:divBdr>
        <w:top w:val="none" w:sz="0" w:space="0" w:color="auto"/>
        <w:left w:val="none" w:sz="0" w:space="0" w:color="auto"/>
        <w:bottom w:val="none" w:sz="0" w:space="0" w:color="auto"/>
        <w:right w:val="none" w:sz="0" w:space="0" w:color="auto"/>
      </w:divBdr>
    </w:div>
    <w:div w:id="1389038373">
      <w:bodyDiv w:val="1"/>
      <w:marLeft w:val="0"/>
      <w:marRight w:val="0"/>
      <w:marTop w:val="0"/>
      <w:marBottom w:val="0"/>
      <w:divBdr>
        <w:top w:val="none" w:sz="0" w:space="0" w:color="auto"/>
        <w:left w:val="none" w:sz="0" w:space="0" w:color="auto"/>
        <w:bottom w:val="none" w:sz="0" w:space="0" w:color="auto"/>
        <w:right w:val="none" w:sz="0" w:space="0" w:color="auto"/>
      </w:divBdr>
    </w:div>
    <w:div w:id="1552033509">
      <w:bodyDiv w:val="1"/>
      <w:marLeft w:val="0"/>
      <w:marRight w:val="0"/>
      <w:marTop w:val="0"/>
      <w:marBottom w:val="0"/>
      <w:divBdr>
        <w:top w:val="none" w:sz="0" w:space="0" w:color="auto"/>
        <w:left w:val="none" w:sz="0" w:space="0" w:color="auto"/>
        <w:bottom w:val="none" w:sz="0" w:space="0" w:color="auto"/>
        <w:right w:val="none" w:sz="0" w:space="0" w:color="auto"/>
      </w:divBdr>
    </w:div>
    <w:div w:id="1772240454">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1928146575">
      <w:bodyDiv w:val="1"/>
      <w:marLeft w:val="0"/>
      <w:marRight w:val="0"/>
      <w:marTop w:val="0"/>
      <w:marBottom w:val="0"/>
      <w:divBdr>
        <w:top w:val="none" w:sz="0" w:space="0" w:color="auto"/>
        <w:left w:val="none" w:sz="0" w:space="0" w:color="auto"/>
        <w:bottom w:val="none" w:sz="0" w:space="0" w:color="auto"/>
        <w:right w:val="none" w:sz="0" w:space="0" w:color="auto"/>
      </w:divBdr>
    </w:div>
    <w:div w:id="1998993653">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 w:id="21444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ployers.varetire.org/hybrid-rate-separ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ployers.varetire.org/hybrid-rate-separation/registr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vlc.virginia.gov/contentdetails?id=4AF8083CE63642F3870426C66E674ED3" TargetMode="External"/><Relationship Id="rId4" Type="http://schemas.openxmlformats.org/officeDocument/2006/relationships/image" Target="media/image1.gif"/><Relationship Id="rId9" Type="http://schemas.openxmlformats.org/officeDocument/2006/relationships/hyperlink" Target="mailto:payroll@doa.virginia.go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4A94-BF60-4903-9838-29B91B5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9650</TotalTime>
  <Pages>5</Pages>
  <Words>2098</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13838</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Cathy</cp:lastModifiedBy>
  <cp:revision>57</cp:revision>
  <cp:lastPrinted>2019-12-30T23:07:00Z</cp:lastPrinted>
  <dcterms:created xsi:type="dcterms:W3CDTF">2024-04-02T19:14:00Z</dcterms:created>
  <dcterms:modified xsi:type="dcterms:W3CDTF">2024-04-12T15:21:00Z</dcterms:modified>
  <cp:category>Payroll Bulletin</cp:category>
</cp:coreProperties>
</file>