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F1C5" w14:textId="77777777"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514706EC" w14:textId="77777777"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2CE159A9" w14:textId="77777777" w:rsidR="00CF5444" w:rsidRDefault="00CF5444">
      <w:pPr>
        <w:pStyle w:val="Header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6"/>
        <w:gridCol w:w="3366"/>
        <w:gridCol w:w="3366"/>
      </w:tblGrid>
      <w:tr w:rsidR="00CF5444" w14:paraId="1A309D0B" w14:textId="77777777">
        <w:trPr>
          <w:cantSplit/>
        </w:trPr>
        <w:tc>
          <w:tcPr>
            <w:tcW w:w="3366" w:type="dxa"/>
            <w:tcBorders>
              <w:bottom w:val="double" w:sz="6" w:space="0" w:color="auto"/>
            </w:tcBorders>
          </w:tcPr>
          <w:p w14:paraId="5C397EA3" w14:textId="00A710C5" w:rsidR="00CF5444" w:rsidRDefault="00CF5444" w:rsidP="00C2408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CB1857">
              <w:rPr>
                <w:b/>
                <w:sz w:val="20"/>
              </w:rPr>
              <w:t>202</w:t>
            </w:r>
            <w:r w:rsidR="003A4A5C">
              <w:rPr>
                <w:b/>
                <w:sz w:val="20"/>
              </w:rPr>
              <w:t>3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24BC0FAE" w14:textId="4C68EAB8" w:rsidR="00CF5444" w:rsidRDefault="00E062A0" w:rsidP="004F1DA8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</w:t>
            </w:r>
            <w:r w:rsidR="003A4A5C">
              <w:rPr>
                <w:b/>
                <w:sz w:val="20"/>
              </w:rPr>
              <w:t xml:space="preserve">ne 6, </w:t>
            </w:r>
            <w:r w:rsidR="00CB1857">
              <w:rPr>
                <w:b/>
                <w:sz w:val="20"/>
              </w:rPr>
              <w:t>202</w:t>
            </w:r>
            <w:r w:rsidR="003A4A5C">
              <w:rPr>
                <w:b/>
                <w:sz w:val="20"/>
              </w:rPr>
              <w:t>3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5DB23F3B" w14:textId="5E4C70CC" w:rsidR="00CF5444" w:rsidRDefault="00CF5444" w:rsidP="004F1DA8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CB1857">
              <w:rPr>
                <w:b/>
                <w:sz w:val="20"/>
              </w:rPr>
              <w:t>202</w:t>
            </w:r>
            <w:r w:rsidR="003A4A5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 w:rsidR="007A1CB6">
              <w:rPr>
                <w:b/>
                <w:sz w:val="20"/>
              </w:rPr>
              <w:t>0</w:t>
            </w:r>
            <w:r w:rsidR="003A4A5C">
              <w:rPr>
                <w:b/>
                <w:sz w:val="20"/>
              </w:rPr>
              <w:t>4</w:t>
            </w:r>
          </w:p>
        </w:tc>
      </w:tr>
    </w:tbl>
    <w:p w14:paraId="560563F8" w14:textId="77777777" w:rsidR="00CF5444" w:rsidRDefault="00CF5444">
      <w:pPr>
        <w:tabs>
          <w:tab w:val="left" w:pos="990"/>
        </w:tabs>
        <w:jc w:val="center"/>
      </w:pPr>
    </w:p>
    <w:p w14:paraId="27D90B0B" w14:textId="77777777" w:rsidR="00AC21E2" w:rsidRDefault="00AC21E2"/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3978"/>
        <w:gridCol w:w="3735"/>
      </w:tblGrid>
      <w:tr w:rsidR="0056085F" w14:paraId="7EA759FE" w14:textId="77777777" w:rsidTr="00014DB8">
        <w:tc>
          <w:tcPr>
            <w:tcW w:w="2245" w:type="dxa"/>
          </w:tcPr>
          <w:p w14:paraId="4C8978B1" w14:textId="77777777"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014DB8">
              <w:rPr>
                <w:i/>
                <w:sz w:val="32"/>
                <w:szCs w:val="32"/>
              </w:rPr>
              <w:t>In This Issue of the Payroll Bulletin…....</w:t>
            </w:r>
          </w:p>
          <w:p w14:paraId="50E7F405" w14:textId="77777777" w:rsidR="0056085F" w:rsidRPr="00014DB8" w:rsidRDefault="0056085F" w:rsidP="00014DB8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14:paraId="6D8935DC" w14:textId="2C0D2C01" w:rsidR="00AC2383" w:rsidRPr="00AC21E2" w:rsidRDefault="00AC2383" w:rsidP="00014DB8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 w:val="20"/>
              </w:rPr>
            </w:pPr>
            <w:r w:rsidRPr="00AC21E2">
              <w:rPr>
                <w:b/>
                <w:sz w:val="20"/>
              </w:rPr>
              <w:t xml:space="preserve">General Guidelines for </w:t>
            </w:r>
            <w:r w:rsidR="00196E82">
              <w:rPr>
                <w:b/>
                <w:sz w:val="20"/>
              </w:rPr>
              <w:t>Ju</w:t>
            </w:r>
            <w:r w:rsidR="00857899">
              <w:rPr>
                <w:b/>
                <w:sz w:val="20"/>
              </w:rPr>
              <w:t>ne 10,</w:t>
            </w:r>
            <w:r w:rsidR="00595482" w:rsidRPr="00AC21E2">
              <w:rPr>
                <w:b/>
                <w:sz w:val="20"/>
              </w:rPr>
              <w:t xml:space="preserve"> </w:t>
            </w:r>
            <w:r w:rsidR="00CB1857">
              <w:rPr>
                <w:b/>
                <w:sz w:val="20"/>
              </w:rPr>
              <w:t>202</w:t>
            </w:r>
            <w:r w:rsidR="00857899">
              <w:rPr>
                <w:b/>
                <w:sz w:val="20"/>
              </w:rPr>
              <w:t>3</w:t>
            </w:r>
            <w:r w:rsidR="00FD45BA">
              <w:rPr>
                <w:b/>
                <w:sz w:val="20"/>
              </w:rPr>
              <w:t>,</w:t>
            </w:r>
            <w:r w:rsidR="00595482" w:rsidRPr="00AC21E2">
              <w:rPr>
                <w:b/>
                <w:sz w:val="20"/>
              </w:rPr>
              <w:t xml:space="preserve"> Salary Increase</w:t>
            </w:r>
          </w:p>
          <w:p w14:paraId="24D7F94E" w14:textId="36ADDCEC" w:rsidR="005D49E7" w:rsidRPr="00AC21E2" w:rsidRDefault="005D49E7" w:rsidP="00857899">
            <w:pPr>
              <w:pStyle w:val="ListParagraph"/>
              <w:ind w:left="900"/>
              <w:rPr>
                <w:sz w:val="20"/>
              </w:rPr>
            </w:pPr>
          </w:p>
        </w:tc>
        <w:tc>
          <w:tcPr>
            <w:tcW w:w="3795" w:type="dxa"/>
          </w:tcPr>
          <w:p w14:paraId="0C83DA8A" w14:textId="04964CFE"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sz w:val="20"/>
              </w:rPr>
              <w:t xml:space="preserve">The Payroll Bulletin is published periodically to provide </w:t>
            </w:r>
            <w:r w:rsidR="005D665C">
              <w:rPr>
                <w:sz w:val="20"/>
              </w:rPr>
              <w:t>HCM</w:t>
            </w:r>
            <w:r w:rsidRPr="00014DB8">
              <w:rPr>
                <w:sz w:val="20"/>
              </w:rPr>
              <w:t xml:space="preserve"> agencies guidance regarding Commonwealth payroll operations.  If you have any questions about the bulletin, please call Cathy McGill at (804) 371-7800 or Email at </w:t>
            </w:r>
            <w:hyperlink r:id="rId7" w:history="1">
              <w:r w:rsidRPr="00014DB8">
                <w:rPr>
                  <w:rStyle w:val="Hyperlink"/>
                  <w:sz w:val="20"/>
                </w:rPr>
                <w:t>cathy.mcgill@doa.virginia.gov</w:t>
              </w:r>
            </w:hyperlink>
          </w:p>
          <w:p w14:paraId="39639243" w14:textId="77777777" w:rsidR="0056085F" w:rsidRPr="00014DB8" w:rsidRDefault="0056085F" w:rsidP="00014DB8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014DB8">
              <w:rPr>
                <w:sz w:val="20"/>
                <w:u w:val="single"/>
              </w:rPr>
              <w:t>State Payroll Operations</w:t>
            </w:r>
          </w:p>
          <w:p w14:paraId="3BEEDBAC" w14:textId="77777777"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b/>
                <w:sz w:val="20"/>
              </w:rPr>
              <w:t xml:space="preserve">Director                         </w:t>
            </w:r>
            <w:r w:rsidR="00B15C03">
              <w:rPr>
                <w:b/>
                <w:sz w:val="20"/>
              </w:rPr>
              <w:t>Cathy C. McGill</w:t>
            </w:r>
          </w:p>
          <w:p w14:paraId="556E2C53" w14:textId="77777777" w:rsidR="0056085F" w:rsidRPr="00014DB8" w:rsidRDefault="00B15C03" w:rsidP="00B15C03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Assistant</w:t>
            </w:r>
            <w:r w:rsidR="0056085F" w:rsidRPr="00014DB8">
              <w:rPr>
                <w:sz w:val="20"/>
              </w:rPr>
              <w:t xml:space="preserve"> Director          </w:t>
            </w:r>
            <w:r w:rsidR="00DF4DE7">
              <w:rPr>
                <w:sz w:val="20"/>
              </w:rPr>
              <w:t xml:space="preserve"> </w:t>
            </w:r>
            <w:r>
              <w:rPr>
                <w:sz w:val="20"/>
              </w:rPr>
              <w:t>Carmelita Holmes</w:t>
            </w:r>
          </w:p>
        </w:tc>
      </w:tr>
    </w:tbl>
    <w:p w14:paraId="7534706A" w14:textId="77777777" w:rsidR="005B3E5E" w:rsidRDefault="005B3E5E" w:rsidP="005B3E5E">
      <w:pPr>
        <w:pStyle w:val="BlockLine"/>
        <w:spacing w:before="120"/>
        <w:ind w:left="1627"/>
      </w:pPr>
    </w:p>
    <w:p w14:paraId="77C9782F" w14:textId="6428674F" w:rsidR="00AC2383" w:rsidRPr="00EF2B82" w:rsidRDefault="00AC2383" w:rsidP="00AC2383">
      <w:pPr>
        <w:pStyle w:val="MapTitleContinued"/>
        <w:spacing w:after="0"/>
        <w:outlineLvl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EF2B82">
        <w:rPr>
          <w:rFonts w:ascii="Times New Roman" w:hAnsi="Times New Roman"/>
          <w:sz w:val="28"/>
          <w:szCs w:val="28"/>
        </w:rPr>
        <w:t xml:space="preserve">General Guidelines for </w:t>
      </w:r>
      <w:r w:rsidR="00196E82">
        <w:rPr>
          <w:rFonts w:ascii="Times New Roman" w:hAnsi="Times New Roman"/>
          <w:sz w:val="28"/>
          <w:szCs w:val="28"/>
        </w:rPr>
        <w:t>Ju</w:t>
      </w:r>
      <w:r w:rsidR="00857899">
        <w:rPr>
          <w:rFonts w:ascii="Times New Roman" w:hAnsi="Times New Roman"/>
          <w:sz w:val="28"/>
          <w:szCs w:val="28"/>
        </w:rPr>
        <w:t>ne</w:t>
      </w:r>
      <w:r w:rsidR="006942AD">
        <w:rPr>
          <w:rFonts w:ascii="Times New Roman" w:hAnsi="Times New Roman"/>
          <w:sz w:val="28"/>
          <w:szCs w:val="28"/>
        </w:rPr>
        <w:t xml:space="preserve"> 10,</w:t>
      </w:r>
      <w:r w:rsidR="00196E82">
        <w:rPr>
          <w:rFonts w:ascii="Times New Roman" w:hAnsi="Times New Roman"/>
          <w:sz w:val="28"/>
          <w:szCs w:val="28"/>
        </w:rPr>
        <w:t xml:space="preserve"> </w:t>
      </w:r>
      <w:r w:rsidR="005D665C">
        <w:rPr>
          <w:rFonts w:ascii="Times New Roman" w:hAnsi="Times New Roman"/>
          <w:sz w:val="28"/>
          <w:szCs w:val="28"/>
        </w:rPr>
        <w:t>2023,</w:t>
      </w:r>
      <w:r w:rsidR="008601F2">
        <w:rPr>
          <w:rFonts w:ascii="Times New Roman" w:hAnsi="Times New Roman"/>
          <w:sz w:val="28"/>
          <w:szCs w:val="28"/>
        </w:rPr>
        <w:t xml:space="preserve"> Salary Increase</w:t>
      </w:r>
    </w:p>
    <w:p w14:paraId="07148FA6" w14:textId="77777777" w:rsidR="00CE2BF4" w:rsidRDefault="00CE2BF4" w:rsidP="005B3E5E">
      <w:pPr>
        <w:pStyle w:val="BlockLine"/>
        <w:spacing w:before="120"/>
        <w:ind w:left="1627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CE2BF4" w14:paraId="5DB392F0" w14:textId="77777777" w:rsidTr="009170A0">
        <w:trPr>
          <w:cantSplit/>
        </w:trPr>
        <w:tc>
          <w:tcPr>
            <w:tcW w:w="1818" w:type="dxa"/>
          </w:tcPr>
          <w:p w14:paraId="3AD78E6C" w14:textId="77777777" w:rsidR="00CE2BF4" w:rsidRDefault="00AC2383" w:rsidP="00AC2383">
            <w:pPr>
              <w:pStyle w:val="Heading5"/>
            </w:pPr>
            <w:r>
              <w:rPr>
                <w:rFonts w:ascii="Times New Roman Bold" w:hAnsi="Times New Roman Bold"/>
                <w:bCs/>
                <w:sz w:val="24"/>
                <w:szCs w:val="24"/>
              </w:rPr>
              <w:t>DHRM Policy and Guidance</w:t>
            </w:r>
            <w:r>
              <w:t xml:space="preserve"> </w:t>
            </w:r>
          </w:p>
        </w:tc>
        <w:tc>
          <w:tcPr>
            <w:tcW w:w="8370" w:type="dxa"/>
          </w:tcPr>
          <w:p w14:paraId="7A7FAB22" w14:textId="3BB4A20B" w:rsidR="00AC2383" w:rsidRDefault="00AC2383" w:rsidP="00AC2383">
            <w:pPr>
              <w:autoSpaceDE w:val="0"/>
              <w:autoSpaceDN w:val="0"/>
              <w:adjustRightInd w:val="0"/>
              <w:rPr>
                <w:rFonts w:cs="Arial Black"/>
                <w:szCs w:val="24"/>
              </w:rPr>
            </w:pPr>
            <w:r>
              <w:rPr>
                <w:rFonts w:cs="Arial Black"/>
                <w:szCs w:val="24"/>
              </w:rPr>
              <w:t xml:space="preserve">The Department of Human Resource Management distributed a memorandum dated </w:t>
            </w:r>
            <w:r w:rsidR="0024183F">
              <w:rPr>
                <w:rFonts w:cs="Arial Black"/>
                <w:szCs w:val="24"/>
              </w:rPr>
              <w:t>May 17</w:t>
            </w:r>
            <w:r w:rsidR="00AE05F0">
              <w:rPr>
                <w:rFonts w:cs="Arial Black"/>
                <w:szCs w:val="24"/>
              </w:rPr>
              <w:t>, 202</w:t>
            </w:r>
            <w:r w:rsidR="0024183F">
              <w:rPr>
                <w:rFonts w:cs="Arial Black"/>
                <w:szCs w:val="24"/>
              </w:rPr>
              <w:t>3</w:t>
            </w:r>
            <w:r w:rsidR="001E3CD4">
              <w:rPr>
                <w:rFonts w:cs="Arial Black"/>
                <w:szCs w:val="24"/>
              </w:rPr>
              <w:t>,</w:t>
            </w:r>
            <w:r>
              <w:rPr>
                <w:rFonts w:cs="Arial Black"/>
                <w:szCs w:val="24"/>
              </w:rPr>
              <w:t xml:space="preserve"> entitled </w:t>
            </w:r>
            <w:r w:rsidR="0024183F">
              <w:rPr>
                <w:rFonts w:cs="Arial Black"/>
                <w:szCs w:val="24"/>
              </w:rPr>
              <w:t xml:space="preserve">Fiscal Year 2024 </w:t>
            </w:r>
            <w:r>
              <w:rPr>
                <w:rFonts w:cs="Arial Black"/>
                <w:szCs w:val="24"/>
              </w:rPr>
              <w:t>Authorizati</w:t>
            </w:r>
            <w:r w:rsidR="007410A9">
              <w:rPr>
                <w:rFonts w:cs="Arial Black"/>
                <w:szCs w:val="24"/>
              </w:rPr>
              <w:t>ons and Compensation Activities</w:t>
            </w:r>
            <w:r>
              <w:rPr>
                <w:rFonts w:cs="Arial Black"/>
                <w:szCs w:val="24"/>
              </w:rPr>
              <w:t>.  Within this document DHRM provide</w:t>
            </w:r>
            <w:r w:rsidR="006F71BA">
              <w:rPr>
                <w:rFonts w:cs="Arial Black"/>
                <w:szCs w:val="24"/>
              </w:rPr>
              <w:t>d</w:t>
            </w:r>
            <w:r>
              <w:rPr>
                <w:rFonts w:cs="Arial Black"/>
                <w:szCs w:val="24"/>
              </w:rPr>
              <w:t xml:space="preserve"> an explanation of the policies related to the</w:t>
            </w:r>
            <w:r w:rsidR="007B5E26">
              <w:rPr>
                <w:rFonts w:cs="Arial Black"/>
                <w:szCs w:val="24"/>
              </w:rPr>
              <w:t xml:space="preserve"> Ju</w:t>
            </w:r>
            <w:r w:rsidR="004D023C">
              <w:rPr>
                <w:rFonts w:cs="Arial Black"/>
                <w:szCs w:val="24"/>
              </w:rPr>
              <w:t xml:space="preserve">ne 10 </w:t>
            </w:r>
            <w:r w:rsidR="007A6CA6">
              <w:rPr>
                <w:rFonts w:cs="Arial Black"/>
                <w:szCs w:val="24"/>
              </w:rPr>
              <w:t xml:space="preserve">salary increase.  </w:t>
            </w:r>
          </w:p>
          <w:p w14:paraId="0ED538C2" w14:textId="77777777" w:rsidR="007A6CA6" w:rsidRPr="00282B95" w:rsidRDefault="007A6CA6" w:rsidP="00AC23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29C7F7E" w14:textId="22DC8A7D" w:rsidR="005F0ADA" w:rsidRDefault="00E678B8" w:rsidP="00AC2383">
            <w:pPr>
              <w:tabs>
                <w:tab w:val="left" w:pos="1440"/>
                <w:tab w:val="left" w:pos="2520"/>
              </w:tabs>
              <w:jc w:val="both"/>
            </w:pPr>
            <w:hyperlink r:id="rId8" w:history="1">
              <w:r w:rsidR="003D2966" w:rsidRPr="00092897">
                <w:rPr>
                  <w:rStyle w:val="Hyperlink"/>
                </w:rPr>
                <w:t>www.dhrm.virginia.gov/docs/default-source/compensationdocuments/fy24compensationmemo.pdf?sfvrsn=6909a7f2_4</w:t>
              </w:r>
            </w:hyperlink>
          </w:p>
          <w:p w14:paraId="636955B5" w14:textId="77777777" w:rsidR="003D2966" w:rsidRPr="00282B95" w:rsidRDefault="003D2966" w:rsidP="00AC2383">
            <w:pPr>
              <w:tabs>
                <w:tab w:val="left" w:pos="1440"/>
                <w:tab w:val="left" w:pos="2520"/>
              </w:tabs>
              <w:jc w:val="both"/>
              <w:rPr>
                <w:sz w:val="16"/>
                <w:szCs w:val="16"/>
              </w:rPr>
            </w:pPr>
          </w:p>
          <w:p w14:paraId="48D3AE82" w14:textId="77777777" w:rsidR="00C238E2" w:rsidRDefault="00C238E2" w:rsidP="00AC2383">
            <w:pPr>
              <w:tabs>
                <w:tab w:val="left" w:pos="1440"/>
                <w:tab w:val="left" w:pos="2520"/>
              </w:tabs>
              <w:jc w:val="both"/>
            </w:pPr>
            <w:r>
              <w:t>Additional resources, including a FAQ, are available here:</w:t>
            </w:r>
          </w:p>
          <w:p w14:paraId="7BDA91BC" w14:textId="77777777" w:rsidR="005F0ADA" w:rsidRPr="00282B95" w:rsidRDefault="005F0ADA" w:rsidP="00AC2383">
            <w:pPr>
              <w:tabs>
                <w:tab w:val="left" w:pos="1440"/>
                <w:tab w:val="left" w:pos="2520"/>
              </w:tabs>
              <w:jc w:val="both"/>
              <w:rPr>
                <w:sz w:val="16"/>
                <w:szCs w:val="16"/>
              </w:rPr>
            </w:pPr>
          </w:p>
          <w:p w14:paraId="0B15C858" w14:textId="5D55147F" w:rsidR="003D2966" w:rsidRPr="00733BAD" w:rsidRDefault="00E678B8" w:rsidP="003D2966">
            <w:pPr>
              <w:tabs>
                <w:tab w:val="left" w:pos="1440"/>
                <w:tab w:val="left" w:pos="2520"/>
              </w:tabs>
              <w:jc w:val="both"/>
              <w:rPr>
                <w:color w:val="365F91" w:themeColor="accent1" w:themeShade="BF"/>
              </w:rPr>
            </w:pPr>
            <w:hyperlink r:id="rId9" w:history="1">
              <w:r w:rsidR="003D2966" w:rsidRPr="00092897">
                <w:rPr>
                  <w:rStyle w:val="Hyperlink"/>
                </w:rPr>
                <w:t>https://www.dhrm.virginia.gov/hr-partners/compensation-and-classification/resources-for-june-10-2023-pay-increase</w:t>
              </w:r>
            </w:hyperlink>
          </w:p>
        </w:tc>
      </w:tr>
    </w:tbl>
    <w:p w14:paraId="4D18D927" w14:textId="77777777" w:rsidR="00700615" w:rsidRPr="005B3E5E" w:rsidRDefault="00700615" w:rsidP="005B3E5E">
      <w:pPr>
        <w:pStyle w:val="BlockLine"/>
        <w:spacing w:before="120"/>
        <w:ind w:left="1627"/>
        <w:rPr>
          <w:sz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5C6178" w14:paraId="14DAF88C" w14:textId="77777777" w:rsidTr="009D37EC">
        <w:trPr>
          <w:cantSplit/>
        </w:trPr>
        <w:tc>
          <w:tcPr>
            <w:tcW w:w="1620" w:type="dxa"/>
          </w:tcPr>
          <w:p w14:paraId="2077AB41" w14:textId="243BF3D1" w:rsidR="005C6178" w:rsidRDefault="004A7C78" w:rsidP="009D37EC">
            <w:pPr>
              <w:pStyle w:val="Heading5"/>
            </w:pPr>
            <w:r>
              <w:t>Legislative Increase</w:t>
            </w:r>
          </w:p>
        </w:tc>
        <w:tc>
          <w:tcPr>
            <w:tcW w:w="8568" w:type="dxa"/>
          </w:tcPr>
          <w:p w14:paraId="29F18E4B" w14:textId="204675D4" w:rsidR="005C6178" w:rsidRDefault="00136F03" w:rsidP="005C6178">
            <w:pPr>
              <w:pStyle w:val="BlockText"/>
              <w:tabs>
                <w:tab w:val="left" w:pos="4554"/>
              </w:tabs>
              <w:jc w:val="both"/>
            </w:pPr>
            <w:r>
              <w:t>Beginning in 2023</w:t>
            </w:r>
            <w:r w:rsidR="00FD45BA">
              <w:t>,</w:t>
            </w:r>
            <w:r>
              <w:t xml:space="preserve"> </w:t>
            </w:r>
            <w:r w:rsidR="009840FF">
              <w:t xml:space="preserve">DHRM in conjunction with Cardinal </w:t>
            </w:r>
            <w:r w:rsidRPr="00136F03">
              <w:t xml:space="preserve">implemented an automated tool to evaluate, verify, and process salary increases </w:t>
            </w:r>
            <w:r>
              <w:t xml:space="preserve">as </w:t>
            </w:r>
            <w:r w:rsidRPr="00136F03">
              <w:t>authorized in accordance with the Act of Appropriations</w:t>
            </w:r>
            <w:r>
              <w:t xml:space="preserve"> for agencies utilizing the tool</w:t>
            </w:r>
            <w:r w:rsidRPr="00136F03">
              <w:t>.</w:t>
            </w:r>
            <w:r w:rsidR="005C6178">
              <w:t xml:space="preserve">  </w:t>
            </w:r>
            <w:r w:rsidR="00DE4500">
              <w:t xml:space="preserve">See job aid HR351, Using the Legislative Salary Increase Tool (FY24) for more information.  </w:t>
            </w:r>
            <w:r>
              <w:t>Agencies also had the option to manually key increases or send them to Cardinal HCM via the HR003 Employee Data Interface or a Job Data Mass Upload.   Regardless of the method employed, all increases should be entered no later than June 15 when p</w:t>
            </w:r>
            <w:r w:rsidR="005C6178">
              <w:t>aysheets for the 0</w:t>
            </w:r>
            <w:r>
              <w:t>6</w:t>
            </w:r>
            <w:r w:rsidR="005C6178">
              <w:t>/10 – 0</w:t>
            </w:r>
            <w:r>
              <w:t>6</w:t>
            </w:r>
            <w:r w:rsidR="005C6178">
              <w:t>/24 pay period will be created.</w:t>
            </w:r>
          </w:p>
          <w:p w14:paraId="32EC9722" w14:textId="77777777" w:rsidR="00A035A9" w:rsidRDefault="00A035A9" w:rsidP="005C6178">
            <w:pPr>
              <w:pStyle w:val="BlockText"/>
              <w:tabs>
                <w:tab w:val="left" w:pos="4554"/>
              </w:tabs>
              <w:jc w:val="both"/>
            </w:pPr>
          </w:p>
          <w:p w14:paraId="396EBC8F" w14:textId="77777777" w:rsidR="00A035A9" w:rsidRDefault="00A035A9" w:rsidP="00A035A9">
            <w:pPr>
              <w:pStyle w:val="BlockText"/>
              <w:tabs>
                <w:tab w:val="left" w:pos="4554"/>
              </w:tabs>
              <w:jc w:val="both"/>
            </w:pPr>
            <w:r>
              <w:t xml:space="preserve">Imputed life in HCM is calculated </w:t>
            </w:r>
            <w:r w:rsidR="00E3336E">
              <w:t xml:space="preserve">during the </w:t>
            </w:r>
            <w:r>
              <w:t>first pay period of each month.  Mid-month changes do not trigger a recalculation of imputed income for the month and agencies are NOT required to manually calculate and enter.</w:t>
            </w:r>
          </w:p>
          <w:p w14:paraId="68447F2E" w14:textId="77777777" w:rsidR="00C452D1" w:rsidRDefault="00C452D1" w:rsidP="00A035A9">
            <w:pPr>
              <w:pStyle w:val="BlockText"/>
              <w:tabs>
                <w:tab w:val="left" w:pos="4554"/>
              </w:tabs>
              <w:jc w:val="both"/>
            </w:pPr>
          </w:p>
          <w:p w14:paraId="26D0019F" w14:textId="3C132E42" w:rsidR="00E3336E" w:rsidRDefault="00C452D1" w:rsidP="009A1BC5">
            <w:pPr>
              <w:pStyle w:val="BlockText"/>
              <w:tabs>
                <w:tab w:val="left" w:pos="4554"/>
              </w:tabs>
              <w:jc w:val="both"/>
            </w:pPr>
            <w:r>
              <w:t xml:space="preserve">Changes to </w:t>
            </w:r>
            <w:r w:rsidR="009A1BC5">
              <w:t xml:space="preserve">retirement creditable comp will process on </w:t>
            </w:r>
            <w:r w:rsidR="004A7C78">
              <w:t>July</w:t>
            </w:r>
            <w:r w:rsidR="009A1BC5">
              <w:t xml:space="preserve"> </w:t>
            </w:r>
            <w:r w:rsidR="004A7C78">
              <w:t>5</w:t>
            </w:r>
            <w:r w:rsidR="009A1BC5">
              <w:t xml:space="preserve"> with the VNAV interface from VRS.</w:t>
            </w:r>
          </w:p>
        </w:tc>
      </w:tr>
    </w:tbl>
    <w:p w14:paraId="2F7DC6C9" w14:textId="15FD4C5C" w:rsidR="009A1BC5" w:rsidRDefault="00C429EC" w:rsidP="002E7B28">
      <w:pPr>
        <w:pStyle w:val="BlockLine"/>
        <w:ind w:left="162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Continued</w:t>
      </w:r>
      <w:r w:rsidR="002E7B2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on </w:t>
      </w:r>
      <w:r w:rsidR="002E7B28">
        <w:rPr>
          <w:i/>
          <w:iCs/>
          <w:sz w:val="16"/>
          <w:szCs w:val="16"/>
        </w:rPr>
        <w:t>the next page</w:t>
      </w:r>
    </w:p>
    <w:p w14:paraId="1B794898" w14:textId="77777777" w:rsidR="002E7B28" w:rsidRDefault="002E7B28" w:rsidP="002E7B28"/>
    <w:p w14:paraId="0EF89ECE" w14:textId="77777777" w:rsidR="002E7B28" w:rsidRDefault="002E7B28" w:rsidP="002E7B28"/>
    <w:p w14:paraId="2383CEF1" w14:textId="77777777" w:rsidR="002E7B28" w:rsidRDefault="002E7B28" w:rsidP="002E7B28"/>
    <w:p w14:paraId="1FAFFA37" w14:textId="77777777" w:rsidR="002E7B28" w:rsidRDefault="002E7B28" w:rsidP="002E7B28"/>
    <w:p w14:paraId="05D91A00" w14:textId="77777777" w:rsidR="002E7B28" w:rsidRPr="00EF2B82" w:rsidRDefault="002E7B28" w:rsidP="002E7B28">
      <w:pPr>
        <w:pStyle w:val="MapTitleContinued"/>
        <w:spacing w:after="0"/>
        <w:outlineLvl w:val="0"/>
        <w:rPr>
          <w:rFonts w:ascii="Times New Roman" w:hAnsi="Times New Roman"/>
          <w:sz w:val="28"/>
          <w:szCs w:val="28"/>
        </w:rPr>
      </w:pPr>
      <w:r w:rsidRPr="00EF2B82">
        <w:rPr>
          <w:rFonts w:ascii="Times New Roman" w:hAnsi="Times New Roman"/>
          <w:sz w:val="28"/>
          <w:szCs w:val="28"/>
        </w:rPr>
        <w:t xml:space="preserve">General Guidelines for </w:t>
      </w:r>
      <w:r>
        <w:rPr>
          <w:rFonts w:ascii="Times New Roman" w:hAnsi="Times New Roman"/>
          <w:sz w:val="28"/>
          <w:szCs w:val="28"/>
        </w:rPr>
        <w:t>June 10, 2023, Salary Increase</w:t>
      </w:r>
    </w:p>
    <w:p w14:paraId="74C724CC" w14:textId="77777777" w:rsidR="002E7B28" w:rsidRDefault="002E7B28" w:rsidP="002E7B28">
      <w:pPr>
        <w:pStyle w:val="BlockLine"/>
        <w:spacing w:before="120"/>
        <w:ind w:left="1627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CC3EF5" w14:paraId="1B412C80" w14:textId="77777777" w:rsidTr="009D37EC">
        <w:trPr>
          <w:cantSplit/>
        </w:trPr>
        <w:tc>
          <w:tcPr>
            <w:tcW w:w="1620" w:type="dxa"/>
          </w:tcPr>
          <w:p w14:paraId="073FE224" w14:textId="77777777" w:rsidR="00CC3EF5" w:rsidRDefault="00CC3EF5" w:rsidP="00CC3EF5">
            <w:pPr>
              <w:pStyle w:val="Heading5"/>
            </w:pPr>
            <w:r w:rsidRPr="0098259A">
              <w:t xml:space="preserve">Employees Who Exceed Maximum Pay Band Amount </w:t>
            </w:r>
          </w:p>
        </w:tc>
        <w:tc>
          <w:tcPr>
            <w:tcW w:w="8568" w:type="dxa"/>
          </w:tcPr>
          <w:p w14:paraId="38D33FBE" w14:textId="4A696DA5" w:rsidR="00CC3EF5" w:rsidRDefault="00CC3EF5" w:rsidP="001E48DF">
            <w:r w:rsidRPr="0098259A">
              <w:t xml:space="preserve">Base pay is restricted to the appropriate pay band maximum for the position. If the computed salary increase exceeds the limit, </w:t>
            </w:r>
            <w:r>
              <w:t xml:space="preserve">rates will be increased by </w:t>
            </w:r>
            <w:r w:rsidRPr="0098259A">
              <w:t xml:space="preserve">the maximum allowed amount. Excess amounts are paid as a one-time </w:t>
            </w:r>
            <w:r w:rsidR="001E48DF">
              <w:t xml:space="preserve">non-discretionary </w:t>
            </w:r>
            <w:r w:rsidRPr="0098259A">
              <w:t xml:space="preserve">bonus to the employee. </w:t>
            </w:r>
            <w:r w:rsidR="00BE7D88" w:rsidRPr="0098259A">
              <w:t xml:space="preserve">This bonus amount will not be updated in </w:t>
            </w:r>
            <w:r w:rsidR="00BE7D88">
              <w:t xml:space="preserve">HCM </w:t>
            </w:r>
            <w:r w:rsidR="00BE7D88" w:rsidRPr="0098259A">
              <w:t>automatically.</w:t>
            </w:r>
            <w:r w:rsidR="00BE7D88">
              <w:t xml:space="preserve">  </w:t>
            </w:r>
            <w:r w:rsidR="004A7C78">
              <w:t xml:space="preserve">Spot transactions with earnings code, </w:t>
            </w:r>
            <w:r w:rsidR="001E48DF">
              <w:t>BON</w:t>
            </w:r>
            <w:r w:rsidR="004A7C78">
              <w:t>, will be required</w:t>
            </w:r>
            <w:r w:rsidRPr="0098259A">
              <w:t xml:space="preserve">. </w:t>
            </w:r>
            <w:r w:rsidR="00BE7D88">
              <w:t xml:space="preserve">  </w:t>
            </w:r>
            <w:r w:rsidRPr="0098259A">
              <w:t xml:space="preserve">Contact </w:t>
            </w:r>
            <w:r w:rsidR="00E063C8">
              <w:t>your HR department for a list of employees and amounts.</w:t>
            </w:r>
            <w:r w:rsidR="00F6322B">
              <w:t xml:space="preserve">  </w:t>
            </w:r>
          </w:p>
        </w:tc>
      </w:tr>
    </w:tbl>
    <w:p w14:paraId="046852BA" w14:textId="77777777" w:rsidR="002E7B28" w:rsidRDefault="002E7B28" w:rsidP="002E7B28">
      <w:pPr>
        <w:pStyle w:val="BlockLine"/>
        <w:spacing w:before="120"/>
        <w:ind w:left="1627"/>
      </w:pPr>
    </w:p>
    <w:p w14:paraId="2E54E120" w14:textId="77777777" w:rsidR="00BA60BC" w:rsidRPr="00BA60BC" w:rsidRDefault="00BA60BC" w:rsidP="00BA60BC"/>
    <w:sectPr w:rsidR="00BA60BC" w:rsidRPr="00BA60BC" w:rsidSect="00D90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90" w:left="1152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C743" w14:textId="77777777" w:rsidR="00C05D8F" w:rsidRDefault="00C05D8F">
      <w:r>
        <w:separator/>
      </w:r>
    </w:p>
  </w:endnote>
  <w:endnote w:type="continuationSeparator" w:id="0">
    <w:p w14:paraId="35918817" w14:textId="77777777" w:rsidR="00C05D8F" w:rsidRDefault="00C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D626" w14:textId="77777777" w:rsidR="00E678B8" w:rsidRDefault="00E6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F7" w14:textId="77777777" w:rsidR="00CA1614" w:rsidRPr="00D908DF" w:rsidRDefault="00CA1614" w:rsidP="00C57D24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  <w:snapToGrid w:val="0"/>
        <w:sz w:val="18"/>
        <w:szCs w:val="18"/>
      </w:rPr>
    </w:pPr>
    <w:r w:rsidRPr="00D908DF">
      <w:rPr>
        <w:rStyle w:val="PageNumber"/>
        <w:snapToGrid w:val="0"/>
        <w:sz w:val="18"/>
        <w:szCs w:val="18"/>
      </w:rPr>
      <w:t xml:space="preserve">Page </w:t>
    </w:r>
    <w:r w:rsidR="005964A7" w:rsidRPr="00D908DF">
      <w:rPr>
        <w:rStyle w:val="PageNumber"/>
        <w:sz w:val="18"/>
        <w:szCs w:val="18"/>
      </w:rPr>
      <w:fldChar w:fldCharType="begin"/>
    </w:r>
    <w:r w:rsidRPr="00D908DF">
      <w:rPr>
        <w:rStyle w:val="PageNumber"/>
        <w:sz w:val="18"/>
        <w:szCs w:val="18"/>
      </w:rPr>
      <w:instrText xml:space="preserve"> PAGE </w:instrText>
    </w:r>
    <w:r w:rsidR="005964A7" w:rsidRPr="00D908DF">
      <w:rPr>
        <w:rStyle w:val="PageNumber"/>
        <w:sz w:val="18"/>
        <w:szCs w:val="18"/>
      </w:rPr>
      <w:fldChar w:fldCharType="separate"/>
    </w:r>
    <w:r w:rsidR="008B76F0">
      <w:rPr>
        <w:rStyle w:val="PageNumber"/>
        <w:noProof/>
        <w:sz w:val="18"/>
        <w:szCs w:val="18"/>
      </w:rPr>
      <w:t>3</w:t>
    </w:r>
    <w:r w:rsidR="005964A7" w:rsidRPr="00D908DF">
      <w:rPr>
        <w:rStyle w:val="PageNumber"/>
        <w:sz w:val="18"/>
        <w:szCs w:val="18"/>
      </w:rPr>
      <w:fldChar w:fldCharType="end"/>
    </w:r>
    <w:r w:rsidRPr="00D908DF">
      <w:rPr>
        <w:rStyle w:val="PageNumber"/>
        <w:snapToGrid w:val="0"/>
        <w:sz w:val="18"/>
        <w:szCs w:val="18"/>
      </w:rPr>
      <w:t xml:space="preserve"> of </w:t>
    </w:r>
    <w:r w:rsidR="005964A7" w:rsidRPr="00D908DF">
      <w:rPr>
        <w:rStyle w:val="PageNumber"/>
        <w:sz w:val="18"/>
        <w:szCs w:val="18"/>
      </w:rPr>
      <w:fldChar w:fldCharType="begin"/>
    </w:r>
    <w:r w:rsidRPr="00D908DF">
      <w:rPr>
        <w:rStyle w:val="PageNumber"/>
        <w:sz w:val="18"/>
        <w:szCs w:val="18"/>
      </w:rPr>
      <w:instrText xml:space="preserve"> NUMPAGES </w:instrText>
    </w:r>
    <w:r w:rsidR="005964A7" w:rsidRPr="00D908DF">
      <w:rPr>
        <w:rStyle w:val="PageNumber"/>
        <w:sz w:val="18"/>
        <w:szCs w:val="18"/>
      </w:rPr>
      <w:fldChar w:fldCharType="separate"/>
    </w:r>
    <w:r w:rsidR="008B76F0">
      <w:rPr>
        <w:rStyle w:val="PageNumber"/>
        <w:noProof/>
        <w:sz w:val="18"/>
        <w:szCs w:val="18"/>
      </w:rPr>
      <w:t>3</w:t>
    </w:r>
    <w:r w:rsidR="005964A7" w:rsidRPr="00D908DF">
      <w:rPr>
        <w:rStyle w:val="PageNumber"/>
        <w:sz w:val="18"/>
        <w:szCs w:val="18"/>
      </w:rPr>
      <w:fldChar w:fldCharType="end"/>
    </w:r>
  </w:p>
  <w:p w14:paraId="5999B38A" w14:textId="77777777" w:rsidR="00CA1614" w:rsidRPr="00D908DF" w:rsidRDefault="00E678B8" w:rsidP="00C57D24">
    <w:pPr>
      <w:pStyle w:val="NormalWeb"/>
      <w:jc w:val="center"/>
      <w:rPr>
        <w:rFonts w:ascii="Times New Roman" w:hAnsi="Times New Roman"/>
        <w:i/>
        <w:snapToGrid w:val="0"/>
      </w:rPr>
    </w:pPr>
    <w:hyperlink r:id="rId1" w:tooltip="http://www.doa.virginia.gov/Payroll/Payroll_Bulletins/Payroll_Bulletins_Main.cfm" w:history="1">
      <w:r w:rsidR="00CA1614" w:rsidRPr="00D908DF">
        <w:rPr>
          <w:rStyle w:val="Hyperlink"/>
          <w:rFonts w:ascii="Times New Roman" w:hAnsi="Times New Roman"/>
          <w:i/>
          <w:iCs/>
          <w:snapToGrid w:val="0"/>
          <w:color w:val="auto"/>
        </w:rPr>
        <w:t>http://www.doa.virginia.gov/Payroll/Payroll_Bulletins/Payroll_Bulletins_Main.cfm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520A" w14:textId="77777777" w:rsidR="00E678B8" w:rsidRDefault="00E6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4C10" w14:textId="77777777" w:rsidR="00C05D8F" w:rsidRDefault="00C05D8F">
      <w:r>
        <w:separator/>
      </w:r>
    </w:p>
  </w:footnote>
  <w:footnote w:type="continuationSeparator" w:id="0">
    <w:p w14:paraId="42D40A00" w14:textId="77777777" w:rsidR="00C05D8F" w:rsidRDefault="00C0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68EC" w14:textId="77777777" w:rsidR="00E678B8" w:rsidRDefault="00E6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3986" w14:textId="77777777" w:rsidR="00CA1614" w:rsidRDefault="00CA1614" w:rsidP="00BD40FD">
    <w:pPr>
      <w:pStyle w:val="Header"/>
      <w:rPr>
        <w:sz w:val="16"/>
      </w:rPr>
    </w:pPr>
  </w:p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A1614" w14:paraId="0F85FF7D" w14:textId="77777777" w:rsidTr="00A97993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532CBEF1" w14:textId="1226773C" w:rsidR="00CA1614" w:rsidRDefault="00CA1614" w:rsidP="00276F66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 xml:space="preserve">Calendar Year </w:t>
          </w:r>
          <w:r w:rsidR="00CB1857">
            <w:rPr>
              <w:b/>
              <w:sz w:val="20"/>
            </w:rPr>
            <w:t>202</w:t>
          </w:r>
          <w:r w:rsidR="00E678B8">
            <w:rPr>
              <w:b/>
              <w:sz w:val="20"/>
            </w:rPr>
            <w:t>3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76A607A7" w14:textId="66A9D5EA" w:rsidR="00CA1614" w:rsidRDefault="00E062A0" w:rsidP="008B76F0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Ju</w:t>
          </w:r>
          <w:r w:rsidR="00E678B8">
            <w:rPr>
              <w:b/>
              <w:sz w:val="20"/>
            </w:rPr>
            <w:t>ne 5</w:t>
          </w:r>
          <w:r>
            <w:rPr>
              <w:b/>
              <w:sz w:val="20"/>
            </w:rPr>
            <w:t xml:space="preserve">, </w:t>
          </w:r>
          <w:r w:rsidR="00CB1857">
            <w:rPr>
              <w:b/>
              <w:sz w:val="20"/>
            </w:rPr>
            <w:t>202</w:t>
          </w:r>
          <w:r w:rsidR="00E678B8">
            <w:rPr>
              <w:b/>
              <w:sz w:val="20"/>
            </w:rPr>
            <w:t>3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14:paraId="5A808548" w14:textId="2D647456" w:rsidR="00CA1614" w:rsidRDefault="00CA1614" w:rsidP="008B76F0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CB1857">
            <w:rPr>
              <w:b/>
              <w:sz w:val="20"/>
            </w:rPr>
            <w:t>202</w:t>
          </w:r>
          <w:r w:rsidR="00E678B8">
            <w:rPr>
              <w:b/>
              <w:sz w:val="20"/>
            </w:rPr>
            <w:t>3</w:t>
          </w:r>
          <w:r>
            <w:rPr>
              <w:b/>
              <w:sz w:val="20"/>
            </w:rPr>
            <w:t>-0</w:t>
          </w:r>
          <w:r w:rsidR="00E678B8">
            <w:rPr>
              <w:b/>
              <w:sz w:val="20"/>
            </w:rPr>
            <w:t>4</w:t>
          </w:r>
        </w:p>
      </w:tc>
    </w:tr>
  </w:tbl>
  <w:p w14:paraId="22A71A34" w14:textId="77777777" w:rsidR="00CA1614" w:rsidRDefault="00CA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D9A" w14:textId="77777777" w:rsidR="00E678B8" w:rsidRDefault="00E6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CBC"/>
    <w:multiLevelType w:val="hybridMultilevel"/>
    <w:tmpl w:val="DF4AD5B2"/>
    <w:lvl w:ilvl="0" w:tplc="B3F091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867B17"/>
    <w:multiLevelType w:val="hybridMultilevel"/>
    <w:tmpl w:val="AF64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84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322CE"/>
    <w:multiLevelType w:val="hybridMultilevel"/>
    <w:tmpl w:val="C19E7E3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8516456"/>
    <w:multiLevelType w:val="hybridMultilevel"/>
    <w:tmpl w:val="D02CD9F6"/>
    <w:lvl w:ilvl="0" w:tplc="AF502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6C5E61"/>
    <w:multiLevelType w:val="hybridMultilevel"/>
    <w:tmpl w:val="FD3C9830"/>
    <w:lvl w:ilvl="0" w:tplc="BE7E6D80">
      <w:start w:val="1"/>
      <w:numFmt w:val="bullet"/>
      <w:lvlText w:val=""/>
      <w:lvlJc w:val="left"/>
      <w:pPr>
        <w:tabs>
          <w:tab w:val="num" w:pos="1092"/>
        </w:tabs>
        <w:ind w:left="1092" w:hanging="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4856"/>
    <w:multiLevelType w:val="hybridMultilevel"/>
    <w:tmpl w:val="BE206028"/>
    <w:lvl w:ilvl="0" w:tplc="A27C129E">
      <w:start w:val="202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 w16cid:durableId="1073742461">
    <w:abstractNumId w:val="6"/>
  </w:num>
  <w:num w:numId="2" w16cid:durableId="146559045">
    <w:abstractNumId w:val="2"/>
  </w:num>
  <w:num w:numId="3" w16cid:durableId="372656405">
    <w:abstractNumId w:val="0"/>
  </w:num>
  <w:num w:numId="4" w16cid:durableId="1842576886">
    <w:abstractNumId w:val="3"/>
  </w:num>
  <w:num w:numId="5" w16cid:durableId="1394622175">
    <w:abstractNumId w:val="1"/>
  </w:num>
  <w:num w:numId="6" w16cid:durableId="1954095923">
    <w:abstractNumId w:val="4"/>
  </w:num>
  <w:num w:numId="7" w16cid:durableId="93783046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78"/>
    <w:rsid w:val="00004BB0"/>
    <w:rsid w:val="00010B87"/>
    <w:rsid w:val="00014DB8"/>
    <w:rsid w:val="000209CA"/>
    <w:rsid w:val="000229A0"/>
    <w:rsid w:val="00043BD6"/>
    <w:rsid w:val="00054804"/>
    <w:rsid w:val="000548D8"/>
    <w:rsid w:val="0005707C"/>
    <w:rsid w:val="00070795"/>
    <w:rsid w:val="0007530F"/>
    <w:rsid w:val="00082E11"/>
    <w:rsid w:val="00096BDC"/>
    <w:rsid w:val="000A3E0D"/>
    <w:rsid w:val="000B28B1"/>
    <w:rsid w:val="000C68B5"/>
    <w:rsid w:val="000D0C78"/>
    <w:rsid w:val="000D74B2"/>
    <w:rsid w:val="000E78C4"/>
    <w:rsid w:val="000F46A6"/>
    <w:rsid w:val="0010004E"/>
    <w:rsid w:val="00120A22"/>
    <w:rsid w:val="00121F17"/>
    <w:rsid w:val="00136F03"/>
    <w:rsid w:val="00142D4F"/>
    <w:rsid w:val="001455A7"/>
    <w:rsid w:val="00145C24"/>
    <w:rsid w:val="00145CE4"/>
    <w:rsid w:val="00151C52"/>
    <w:rsid w:val="0016040B"/>
    <w:rsid w:val="001606F6"/>
    <w:rsid w:val="0017568D"/>
    <w:rsid w:val="001834DC"/>
    <w:rsid w:val="001855DF"/>
    <w:rsid w:val="00186D13"/>
    <w:rsid w:val="001908BF"/>
    <w:rsid w:val="00192D99"/>
    <w:rsid w:val="00196E82"/>
    <w:rsid w:val="001A76D1"/>
    <w:rsid w:val="001A7CC7"/>
    <w:rsid w:val="001D79E3"/>
    <w:rsid w:val="001E07BF"/>
    <w:rsid w:val="001E2A32"/>
    <w:rsid w:val="001E3CD4"/>
    <w:rsid w:val="001E48DF"/>
    <w:rsid w:val="002004BF"/>
    <w:rsid w:val="00201AC5"/>
    <w:rsid w:val="002066C6"/>
    <w:rsid w:val="0021369D"/>
    <w:rsid w:val="002145D4"/>
    <w:rsid w:val="00224F21"/>
    <w:rsid w:val="0022524D"/>
    <w:rsid w:val="00226EB6"/>
    <w:rsid w:val="00236ED6"/>
    <w:rsid w:val="0024183F"/>
    <w:rsid w:val="002431D0"/>
    <w:rsid w:val="0024614F"/>
    <w:rsid w:val="002544F2"/>
    <w:rsid w:val="002556AC"/>
    <w:rsid w:val="00267884"/>
    <w:rsid w:val="0027465D"/>
    <w:rsid w:val="00276F66"/>
    <w:rsid w:val="00282B95"/>
    <w:rsid w:val="00282CD8"/>
    <w:rsid w:val="00284B3E"/>
    <w:rsid w:val="00294BD1"/>
    <w:rsid w:val="002A523D"/>
    <w:rsid w:val="002B566E"/>
    <w:rsid w:val="002B6B60"/>
    <w:rsid w:val="002C217F"/>
    <w:rsid w:val="002C679F"/>
    <w:rsid w:val="002D27FC"/>
    <w:rsid w:val="002E7B28"/>
    <w:rsid w:val="002F09D7"/>
    <w:rsid w:val="002F6315"/>
    <w:rsid w:val="00304AD9"/>
    <w:rsid w:val="0030589E"/>
    <w:rsid w:val="00307DE8"/>
    <w:rsid w:val="00310568"/>
    <w:rsid w:val="00333FFF"/>
    <w:rsid w:val="003428B4"/>
    <w:rsid w:val="00357B76"/>
    <w:rsid w:val="00363289"/>
    <w:rsid w:val="003857CD"/>
    <w:rsid w:val="003A1E02"/>
    <w:rsid w:val="003A4A5C"/>
    <w:rsid w:val="003B09C4"/>
    <w:rsid w:val="003B0EC9"/>
    <w:rsid w:val="003B27B7"/>
    <w:rsid w:val="003B2B96"/>
    <w:rsid w:val="003B54DA"/>
    <w:rsid w:val="003C2DBC"/>
    <w:rsid w:val="003D27B3"/>
    <w:rsid w:val="003D2966"/>
    <w:rsid w:val="003D6CB6"/>
    <w:rsid w:val="003E210F"/>
    <w:rsid w:val="003E3ABB"/>
    <w:rsid w:val="003E5F66"/>
    <w:rsid w:val="003E6672"/>
    <w:rsid w:val="003F56A1"/>
    <w:rsid w:val="004029E1"/>
    <w:rsid w:val="00402E35"/>
    <w:rsid w:val="00405795"/>
    <w:rsid w:val="004072E7"/>
    <w:rsid w:val="0041061D"/>
    <w:rsid w:val="00411394"/>
    <w:rsid w:val="0041326B"/>
    <w:rsid w:val="00415768"/>
    <w:rsid w:val="00422C2E"/>
    <w:rsid w:val="00443137"/>
    <w:rsid w:val="004454CA"/>
    <w:rsid w:val="00467F3A"/>
    <w:rsid w:val="00484094"/>
    <w:rsid w:val="004A11AF"/>
    <w:rsid w:val="004A18BA"/>
    <w:rsid w:val="004A1959"/>
    <w:rsid w:val="004A600E"/>
    <w:rsid w:val="004A7C78"/>
    <w:rsid w:val="004D023C"/>
    <w:rsid w:val="004F1DA8"/>
    <w:rsid w:val="004F5173"/>
    <w:rsid w:val="005059D8"/>
    <w:rsid w:val="00511428"/>
    <w:rsid w:val="00545EED"/>
    <w:rsid w:val="005464B5"/>
    <w:rsid w:val="0056085F"/>
    <w:rsid w:val="00562AD7"/>
    <w:rsid w:val="005668A2"/>
    <w:rsid w:val="00573015"/>
    <w:rsid w:val="00574539"/>
    <w:rsid w:val="005759A7"/>
    <w:rsid w:val="00580FA8"/>
    <w:rsid w:val="00586656"/>
    <w:rsid w:val="005914E1"/>
    <w:rsid w:val="00595482"/>
    <w:rsid w:val="005964A7"/>
    <w:rsid w:val="005A2EF4"/>
    <w:rsid w:val="005A7200"/>
    <w:rsid w:val="005B02B3"/>
    <w:rsid w:val="005B3E5E"/>
    <w:rsid w:val="005C1612"/>
    <w:rsid w:val="005C6178"/>
    <w:rsid w:val="005D49E7"/>
    <w:rsid w:val="005D665C"/>
    <w:rsid w:val="005F0ADA"/>
    <w:rsid w:val="005F11CB"/>
    <w:rsid w:val="005F1B4E"/>
    <w:rsid w:val="005F5734"/>
    <w:rsid w:val="00604F07"/>
    <w:rsid w:val="00605949"/>
    <w:rsid w:val="00607426"/>
    <w:rsid w:val="0061087F"/>
    <w:rsid w:val="00625AD5"/>
    <w:rsid w:val="006376CF"/>
    <w:rsid w:val="00663266"/>
    <w:rsid w:val="00666FEE"/>
    <w:rsid w:val="0067449B"/>
    <w:rsid w:val="00690402"/>
    <w:rsid w:val="006942AD"/>
    <w:rsid w:val="006B0987"/>
    <w:rsid w:val="006B0D00"/>
    <w:rsid w:val="006C1C76"/>
    <w:rsid w:val="006C3D85"/>
    <w:rsid w:val="006D4792"/>
    <w:rsid w:val="006E39C8"/>
    <w:rsid w:val="006F21CF"/>
    <w:rsid w:val="006F71BA"/>
    <w:rsid w:val="00700615"/>
    <w:rsid w:val="00703D09"/>
    <w:rsid w:val="00713C0F"/>
    <w:rsid w:val="00733BAD"/>
    <w:rsid w:val="007410A9"/>
    <w:rsid w:val="00763A54"/>
    <w:rsid w:val="00767085"/>
    <w:rsid w:val="007750D1"/>
    <w:rsid w:val="00791463"/>
    <w:rsid w:val="0079507B"/>
    <w:rsid w:val="00795E38"/>
    <w:rsid w:val="007A1CB6"/>
    <w:rsid w:val="007A39C2"/>
    <w:rsid w:val="007A45E6"/>
    <w:rsid w:val="007A6CA6"/>
    <w:rsid w:val="007B0A26"/>
    <w:rsid w:val="007B5E26"/>
    <w:rsid w:val="007C13DE"/>
    <w:rsid w:val="007D253D"/>
    <w:rsid w:val="007D58FF"/>
    <w:rsid w:val="007E70AD"/>
    <w:rsid w:val="00801B20"/>
    <w:rsid w:val="00813465"/>
    <w:rsid w:val="00813664"/>
    <w:rsid w:val="00857899"/>
    <w:rsid w:val="008578F5"/>
    <w:rsid w:val="008601F2"/>
    <w:rsid w:val="008605E3"/>
    <w:rsid w:val="00866D8C"/>
    <w:rsid w:val="008869DA"/>
    <w:rsid w:val="00887AAA"/>
    <w:rsid w:val="00890110"/>
    <w:rsid w:val="008A0C0D"/>
    <w:rsid w:val="008A1F54"/>
    <w:rsid w:val="008A2CC1"/>
    <w:rsid w:val="008B76F0"/>
    <w:rsid w:val="008C46BD"/>
    <w:rsid w:val="008C532E"/>
    <w:rsid w:val="008D08E6"/>
    <w:rsid w:val="008D453C"/>
    <w:rsid w:val="008E4B21"/>
    <w:rsid w:val="008E75C6"/>
    <w:rsid w:val="008E79A4"/>
    <w:rsid w:val="008F0883"/>
    <w:rsid w:val="008F7BB9"/>
    <w:rsid w:val="008F7C92"/>
    <w:rsid w:val="00906909"/>
    <w:rsid w:val="00907BA9"/>
    <w:rsid w:val="00907D28"/>
    <w:rsid w:val="009170A0"/>
    <w:rsid w:val="00923A80"/>
    <w:rsid w:val="00926D59"/>
    <w:rsid w:val="009324ED"/>
    <w:rsid w:val="009446A6"/>
    <w:rsid w:val="00946683"/>
    <w:rsid w:val="00952C2D"/>
    <w:rsid w:val="0097229C"/>
    <w:rsid w:val="009757B2"/>
    <w:rsid w:val="009825D3"/>
    <w:rsid w:val="009840FF"/>
    <w:rsid w:val="0099065A"/>
    <w:rsid w:val="00993D57"/>
    <w:rsid w:val="00996E78"/>
    <w:rsid w:val="009A1992"/>
    <w:rsid w:val="009A1BC5"/>
    <w:rsid w:val="009A1ED1"/>
    <w:rsid w:val="009B12EC"/>
    <w:rsid w:val="009D4E40"/>
    <w:rsid w:val="009D605A"/>
    <w:rsid w:val="009E5B20"/>
    <w:rsid w:val="009E62D7"/>
    <w:rsid w:val="009E6831"/>
    <w:rsid w:val="009F1038"/>
    <w:rsid w:val="009F7CC0"/>
    <w:rsid w:val="00A035A9"/>
    <w:rsid w:val="00A072AC"/>
    <w:rsid w:val="00A25262"/>
    <w:rsid w:val="00A302AF"/>
    <w:rsid w:val="00A33753"/>
    <w:rsid w:val="00A3416F"/>
    <w:rsid w:val="00A3637D"/>
    <w:rsid w:val="00A50814"/>
    <w:rsid w:val="00A51427"/>
    <w:rsid w:val="00A652B4"/>
    <w:rsid w:val="00A76438"/>
    <w:rsid w:val="00A7780F"/>
    <w:rsid w:val="00A9101F"/>
    <w:rsid w:val="00A94B4A"/>
    <w:rsid w:val="00A97993"/>
    <w:rsid w:val="00AA24CF"/>
    <w:rsid w:val="00AB148F"/>
    <w:rsid w:val="00AC21E2"/>
    <w:rsid w:val="00AC2383"/>
    <w:rsid w:val="00AD06ED"/>
    <w:rsid w:val="00AD1D8A"/>
    <w:rsid w:val="00AD77F3"/>
    <w:rsid w:val="00AE05F0"/>
    <w:rsid w:val="00AE0AA4"/>
    <w:rsid w:val="00AE4277"/>
    <w:rsid w:val="00B00670"/>
    <w:rsid w:val="00B027AD"/>
    <w:rsid w:val="00B15C03"/>
    <w:rsid w:val="00B32AE2"/>
    <w:rsid w:val="00B377F5"/>
    <w:rsid w:val="00B37C23"/>
    <w:rsid w:val="00B40842"/>
    <w:rsid w:val="00B437F3"/>
    <w:rsid w:val="00B532BA"/>
    <w:rsid w:val="00B56B84"/>
    <w:rsid w:val="00B56C4E"/>
    <w:rsid w:val="00B84CB0"/>
    <w:rsid w:val="00B87D23"/>
    <w:rsid w:val="00B93547"/>
    <w:rsid w:val="00BA0A2C"/>
    <w:rsid w:val="00BA2F1B"/>
    <w:rsid w:val="00BA60BC"/>
    <w:rsid w:val="00BA66C6"/>
    <w:rsid w:val="00BB1E81"/>
    <w:rsid w:val="00BC7496"/>
    <w:rsid w:val="00BD40FD"/>
    <w:rsid w:val="00BD7636"/>
    <w:rsid w:val="00BD79A3"/>
    <w:rsid w:val="00BE7D88"/>
    <w:rsid w:val="00BF068C"/>
    <w:rsid w:val="00BF3FCC"/>
    <w:rsid w:val="00C05D8F"/>
    <w:rsid w:val="00C11B29"/>
    <w:rsid w:val="00C12718"/>
    <w:rsid w:val="00C238E2"/>
    <w:rsid w:val="00C2408E"/>
    <w:rsid w:val="00C278C3"/>
    <w:rsid w:val="00C3692E"/>
    <w:rsid w:val="00C429EC"/>
    <w:rsid w:val="00C452D1"/>
    <w:rsid w:val="00C45485"/>
    <w:rsid w:val="00C50ADB"/>
    <w:rsid w:val="00C520C1"/>
    <w:rsid w:val="00C5471B"/>
    <w:rsid w:val="00C54930"/>
    <w:rsid w:val="00C55E26"/>
    <w:rsid w:val="00C57D24"/>
    <w:rsid w:val="00C63DA8"/>
    <w:rsid w:val="00C64B98"/>
    <w:rsid w:val="00C74456"/>
    <w:rsid w:val="00C753A7"/>
    <w:rsid w:val="00CA02E2"/>
    <w:rsid w:val="00CA1614"/>
    <w:rsid w:val="00CA546D"/>
    <w:rsid w:val="00CB0FD2"/>
    <w:rsid w:val="00CB1857"/>
    <w:rsid w:val="00CC3EF5"/>
    <w:rsid w:val="00CD4B3F"/>
    <w:rsid w:val="00CE18D8"/>
    <w:rsid w:val="00CE2BF4"/>
    <w:rsid w:val="00CE5E54"/>
    <w:rsid w:val="00CF4479"/>
    <w:rsid w:val="00CF5444"/>
    <w:rsid w:val="00D0772A"/>
    <w:rsid w:val="00D16D84"/>
    <w:rsid w:val="00D23F49"/>
    <w:rsid w:val="00D24E49"/>
    <w:rsid w:val="00D26CA0"/>
    <w:rsid w:val="00D32175"/>
    <w:rsid w:val="00D35005"/>
    <w:rsid w:val="00D355DD"/>
    <w:rsid w:val="00D360B5"/>
    <w:rsid w:val="00D36665"/>
    <w:rsid w:val="00D548AF"/>
    <w:rsid w:val="00D7413B"/>
    <w:rsid w:val="00D814ED"/>
    <w:rsid w:val="00D908DF"/>
    <w:rsid w:val="00D91CF8"/>
    <w:rsid w:val="00D93B92"/>
    <w:rsid w:val="00D96E2A"/>
    <w:rsid w:val="00DA1375"/>
    <w:rsid w:val="00DB218B"/>
    <w:rsid w:val="00DB4DE8"/>
    <w:rsid w:val="00DC0737"/>
    <w:rsid w:val="00DD1147"/>
    <w:rsid w:val="00DD1A6E"/>
    <w:rsid w:val="00DE0E60"/>
    <w:rsid w:val="00DE4500"/>
    <w:rsid w:val="00DF4DE7"/>
    <w:rsid w:val="00E02938"/>
    <w:rsid w:val="00E03297"/>
    <w:rsid w:val="00E062A0"/>
    <w:rsid w:val="00E063C8"/>
    <w:rsid w:val="00E240DA"/>
    <w:rsid w:val="00E278AD"/>
    <w:rsid w:val="00E3336E"/>
    <w:rsid w:val="00E46605"/>
    <w:rsid w:val="00E528D8"/>
    <w:rsid w:val="00E563C9"/>
    <w:rsid w:val="00E64B6B"/>
    <w:rsid w:val="00E678B8"/>
    <w:rsid w:val="00E70344"/>
    <w:rsid w:val="00E72348"/>
    <w:rsid w:val="00E8444C"/>
    <w:rsid w:val="00E846A7"/>
    <w:rsid w:val="00E87A3D"/>
    <w:rsid w:val="00E91F74"/>
    <w:rsid w:val="00EA67F0"/>
    <w:rsid w:val="00EB773E"/>
    <w:rsid w:val="00EC46ED"/>
    <w:rsid w:val="00ED7A73"/>
    <w:rsid w:val="00EE0021"/>
    <w:rsid w:val="00EF0B6E"/>
    <w:rsid w:val="00EF2B82"/>
    <w:rsid w:val="00EF3BA6"/>
    <w:rsid w:val="00F14FE6"/>
    <w:rsid w:val="00F215C2"/>
    <w:rsid w:val="00F32CE4"/>
    <w:rsid w:val="00F3320E"/>
    <w:rsid w:val="00F409E6"/>
    <w:rsid w:val="00F43DB3"/>
    <w:rsid w:val="00F54415"/>
    <w:rsid w:val="00F6322B"/>
    <w:rsid w:val="00F75979"/>
    <w:rsid w:val="00F81A28"/>
    <w:rsid w:val="00F84B23"/>
    <w:rsid w:val="00F866F0"/>
    <w:rsid w:val="00F878FB"/>
    <w:rsid w:val="00F90F63"/>
    <w:rsid w:val="00F95DA3"/>
    <w:rsid w:val="00FA65B1"/>
    <w:rsid w:val="00FB28AA"/>
    <w:rsid w:val="00FC5FA7"/>
    <w:rsid w:val="00FC71E5"/>
    <w:rsid w:val="00FD0CDD"/>
    <w:rsid w:val="00FD0E6C"/>
    <w:rsid w:val="00FD1575"/>
    <w:rsid w:val="00FD187D"/>
    <w:rsid w:val="00FD41DA"/>
    <w:rsid w:val="00FD45BA"/>
    <w:rsid w:val="00FE7F54"/>
    <w:rsid w:val="00FF0E1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C7BC70"/>
  <w15:docId w15:val="{231103B8-375E-4B6D-9B97-D28669E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EC9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3B0EC9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3B0EC9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3B0EC9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3B0EC9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3B0EC9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B0EC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0EC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B0EC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B0EC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C9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3B0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3B0EC9"/>
  </w:style>
  <w:style w:type="paragraph" w:customStyle="1" w:styleId="BulletText1">
    <w:name w:val="Bullet Text 1"/>
    <w:basedOn w:val="Normal"/>
    <w:rsid w:val="003B0EC9"/>
    <w:pPr>
      <w:ind w:left="187" w:hanging="187"/>
    </w:pPr>
  </w:style>
  <w:style w:type="paragraph" w:customStyle="1" w:styleId="BulletText2">
    <w:name w:val="Bullet Text 2"/>
    <w:basedOn w:val="BulletText1"/>
    <w:rsid w:val="003B0EC9"/>
    <w:pPr>
      <w:ind w:left="360"/>
    </w:pPr>
  </w:style>
  <w:style w:type="paragraph" w:customStyle="1" w:styleId="ContinuedOnNextPa">
    <w:name w:val="Continued On Next Pa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3B0EC9"/>
    <w:rPr>
      <w:b/>
      <w:sz w:val="22"/>
    </w:rPr>
  </w:style>
  <w:style w:type="paragraph" w:customStyle="1" w:styleId="MapTitleContinued">
    <w:name w:val="Map Title. Continued"/>
    <w:basedOn w:val="Normal"/>
    <w:rsid w:val="003B0EC9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3B0EC9"/>
    <w:pPr>
      <w:ind w:left="0"/>
    </w:pPr>
  </w:style>
  <w:style w:type="paragraph" w:styleId="Footer">
    <w:name w:val="footer"/>
    <w:basedOn w:val="Normal"/>
    <w:rsid w:val="003B0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EC9"/>
  </w:style>
  <w:style w:type="paragraph" w:customStyle="1" w:styleId="TableText">
    <w:name w:val="Table Text"/>
    <w:basedOn w:val="Normal"/>
    <w:rsid w:val="003B0EC9"/>
  </w:style>
  <w:style w:type="paragraph" w:customStyle="1" w:styleId="NoteText">
    <w:name w:val="Note Text"/>
    <w:basedOn w:val="BlockText"/>
    <w:rsid w:val="003B0EC9"/>
  </w:style>
  <w:style w:type="paragraph" w:customStyle="1" w:styleId="TableHeaderText">
    <w:name w:val="Table Header Text"/>
    <w:basedOn w:val="TableText"/>
    <w:rsid w:val="003B0EC9"/>
    <w:pPr>
      <w:jc w:val="center"/>
    </w:pPr>
    <w:rPr>
      <w:b/>
    </w:rPr>
  </w:style>
  <w:style w:type="paragraph" w:customStyle="1" w:styleId="EmbeddedText">
    <w:name w:val="Embedded Text"/>
    <w:basedOn w:val="TableText"/>
    <w:rsid w:val="003B0EC9"/>
  </w:style>
  <w:style w:type="paragraph" w:styleId="TOC1">
    <w:name w:val="toc 1"/>
    <w:basedOn w:val="Normal"/>
    <w:next w:val="Normal"/>
    <w:semiHidden/>
    <w:rsid w:val="003B0EC9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3B0EC9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3B0EC9"/>
    <w:rPr>
      <w:b/>
      <w:sz w:val="18"/>
    </w:rPr>
  </w:style>
  <w:style w:type="paragraph" w:styleId="BodyText2">
    <w:name w:val="Body Text 2"/>
    <w:basedOn w:val="Normal"/>
    <w:rsid w:val="003B0EC9"/>
    <w:rPr>
      <w:b/>
      <w:sz w:val="16"/>
    </w:rPr>
  </w:style>
  <w:style w:type="paragraph" w:styleId="Title">
    <w:name w:val="Title"/>
    <w:basedOn w:val="Normal"/>
    <w:qFormat/>
    <w:rsid w:val="003B0EC9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3B0EC9"/>
    <w:rPr>
      <w:color w:val="0000FF"/>
      <w:u w:val="single"/>
    </w:rPr>
  </w:style>
  <w:style w:type="paragraph" w:customStyle="1" w:styleId="Extmemo">
    <w:name w:val="Extmemo"/>
    <w:basedOn w:val="Normal"/>
    <w:rsid w:val="003B0EC9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3B0EC9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3B0EC9"/>
    <w:rPr>
      <w:color w:val="800080"/>
      <w:u w:val="single"/>
    </w:rPr>
  </w:style>
  <w:style w:type="paragraph" w:styleId="DocumentMap">
    <w:name w:val="Document Map"/>
    <w:basedOn w:val="Normal"/>
    <w:semiHidden/>
    <w:rsid w:val="003B0EC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04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menuhdr1">
    <w:name w:val="menuhdr1"/>
    <w:basedOn w:val="DefaultParagraphFont"/>
    <w:rsid w:val="002004BF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CB0FD2"/>
    <w:rPr>
      <w:i/>
      <w:iCs/>
    </w:rPr>
  </w:style>
  <w:style w:type="paragraph" w:customStyle="1" w:styleId="Default">
    <w:name w:val="Default"/>
    <w:rsid w:val="00AC2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7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rm.virginia.gov/docs/default-source/compensationdocuments/fy24compensationmemo.pdf?sfvrsn=6909a7f2_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thy.mcgill@doa.virgini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hrm.virginia.gov/hr-partners/compensation-and-classification/resources-for-june-10-2023-pay-increa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30</TotalTime>
  <Pages>2</Pages>
  <Words>381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3057</CharactersWithSpaces>
  <SharedDoc>false</SharedDoc>
  <HLinks>
    <vt:vector size="54" baseType="variant">
      <vt:variant>
        <vt:i4>4522061</vt:i4>
      </vt:variant>
      <vt:variant>
        <vt:i4>21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393230</vt:i4>
      </vt:variant>
      <vt:variant>
        <vt:i4>18</vt:i4>
      </vt:variant>
      <vt:variant>
        <vt:i4>0</vt:i4>
      </vt:variant>
      <vt:variant>
        <vt:i4>5</vt:i4>
      </vt:variant>
      <vt:variant>
        <vt:lpwstr>http://www.varetire.org/featured/Plan1-Less-Than-5-Years.asp</vt:lpwstr>
      </vt:variant>
      <vt:variant>
        <vt:lpwstr/>
      </vt:variant>
      <vt:variant>
        <vt:i4>3997768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http://www.doa.virginia.gov/Payroll/Payroll_Certification_Calendar_2012.cfm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https://vadcp.ingplans.com/einfo/pdfs/forms/virgna/650271/payroll_onetime.pdf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http://www.dhrm.virginia.gov/compensation/communication/BonusFAQsfor2012.pdf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http://www.dhrm.virginia.gov/compensation/communication/FiscalYear13AuthandCompensationActivities.pdf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creator>Ashlyn S. Jinnette</dc:creator>
  <cp:keywords>Payroll Bulletin</cp:keywords>
  <cp:lastModifiedBy>McGill, Cathy (DOA)</cp:lastModifiedBy>
  <cp:revision>15</cp:revision>
  <cp:lastPrinted>2012-09-07T16:24:00Z</cp:lastPrinted>
  <dcterms:created xsi:type="dcterms:W3CDTF">2023-06-04T18:30:00Z</dcterms:created>
  <dcterms:modified xsi:type="dcterms:W3CDTF">2023-06-05T12:38:00Z</dcterms:modified>
  <cp:category>Payroll Bulletin</cp:category>
</cp:coreProperties>
</file>