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trPr>
          <w:cantSplit/>
        </w:trPr>
        <w:tc>
          <w:tcPr>
            <w:tcW w:w="3366" w:type="dxa"/>
            <w:tcBorders>
              <w:bottom w:val="double" w:sz="6" w:space="0" w:color="auto"/>
            </w:tcBorders>
          </w:tcPr>
          <w:p w:rsidR="00CF5444" w:rsidRDefault="00CF5444" w:rsidP="00C2408E">
            <w:pPr>
              <w:pStyle w:val="Header"/>
              <w:rPr>
                <w:b/>
                <w:sz w:val="20"/>
              </w:rPr>
            </w:pPr>
            <w:r>
              <w:rPr>
                <w:b/>
                <w:sz w:val="20"/>
              </w:rPr>
              <w:t xml:space="preserve">Calendar Year </w:t>
            </w:r>
            <w:r w:rsidR="00CB1857">
              <w:rPr>
                <w:b/>
                <w:sz w:val="20"/>
              </w:rPr>
              <w:t>202</w:t>
            </w:r>
            <w:r w:rsidR="00C2408E">
              <w:rPr>
                <w:b/>
                <w:sz w:val="20"/>
              </w:rPr>
              <w:t>2</w:t>
            </w:r>
          </w:p>
        </w:tc>
        <w:tc>
          <w:tcPr>
            <w:tcW w:w="3366" w:type="dxa"/>
            <w:tcBorders>
              <w:bottom w:val="double" w:sz="6" w:space="0" w:color="auto"/>
            </w:tcBorders>
          </w:tcPr>
          <w:p w:rsidR="00CF5444" w:rsidRDefault="00AD453C" w:rsidP="00714FE1">
            <w:pPr>
              <w:pStyle w:val="Header"/>
              <w:jc w:val="center"/>
              <w:rPr>
                <w:b/>
                <w:sz w:val="20"/>
              </w:rPr>
            </w:pPr>
            <w:r>
              <w:rPr>
                <w:b/>
                <w:sz w:val="20"/>
              </w:rPr>
              <w:t xml:space="preserve">August </w:t>
            </w:r>
            <w:r w:rsidR="00714FE1">
              <w:rPr>
                <w:b/>
                <w:sz w:val="20"/>
              </w:rPr>
              <w:t>10</w:t>
            </w:r>
            <w:r w:rsidR="00E062A0">
              <w:rPr>
                <w:b/>
                <w:sz w:val="20"/>
              </w:rPr>
              <w:t xml:space="preserve">, </w:t>
            </w:r>
            <w:r w:rsidR="00CB1857">
              <w:rPr>
                <w:b/>
                <w:sz w:val="20"/>
              </w:rPr>
              <w:t>202</w:t>
            </w:r>
            <w:r w:rsidR="00C2408E">
              <w:rPr>
                <w:b/>
                <w:sz w:val="20"/>
              </w:rPr>
              <w:t>2</w:t>
            </w:r>
          </w:p>
        </w:tc>
        <w:tc>
          <w:tcPr>
            <w:tcW w:w="3366" w:type="dxa"/>
            <w:tcBorders>
              <w:bottom w:val="double" w:sz="6" w:space="0" w:color="auto"/>
            </w:tcBorders>
          </w:tcPr>
          <w:p w:rsidR="00CF5444" w:rsidRDefault="00CF5444" w:rsidP="00AD453C">
            <w:pPr>
              <w:pStyle w:val="Header"/>
              <w:jc w:val="right"/>
              <w:rPr>
                <w:b/>
                <w:sz w:val="20"/>
              </w:rPr>
            </w:pPr>
            <w:r>
              <w:rPr>
                <w:b/>
                <w:sz w:val="20"/>
              </w:rPr>
              <w:t xml:space="preserve">Volume </w:t>
            </w:r>
            <w:r w:rsidR="00CB1857">
              <w:rPr>
                <w:b/>
                <w:sz w:val="20"/>
              </w:rPr>
              <w:t>202</w:t>
            </w:r>
            <w:r w:rsidR="00C2408E">
              <w:rPr>
                <w:b/>
                <w:sz w:val="20"/>
              </w:rPr>
              <w:t>2</w:t>
            </w:r>
            <w:r>
              <w:rPr>
                <w:b/>
                <w:sz w:val="20"/>
              </w:rPr>
              <w:t>-</w:t>
            </w:r>
            <w:r w:rsidR="007A1CB6">
              <w:rPr>
                <w:b/>
                <w:sz w:val="20"/>
              </w:rPr>
              <w:t>0</w:t>
            </w:r>
            <w:r w:rsidR="00AD453C">
              <w:rPr>
                <w:b/>
                <w:sz w:val="20"/>
              </w:rPr>
              <w:t>9</w:t>
            </w:r>
          </w:p>
        </w:tc>
      </w:tr>
    </w:tbl>
    <w:p w:rsidR="00AC21E2" w:rsidRDefault="00AC21E2"/>
    <w:tbl>
      <w:tblPr>
        <w:tblW w:w="0" w:type="auto"/>
        <w:tblLook w:val="01E0" w:firstRow="1" w:lastRow="1" w:firstColumn="1" w:lastColumn="1" w:noHBand="0" w:noVBand="0"/>
      </w:tblPr>
      <w:tblGrid>
        <w:gridCol w:w="2220"/>
        <w:gridCol w:w="3986"/>
        <w:gridCol w:w="3730"/>
      </w:tblGrid>
      <w:tr w:rsidR="0056085F" w:rsidTr="00014DB8">
        <w:tc>
          <w:tcPr>
            <w:tcW w:w="2245" w:type="dxa"/>
          </w:tcPr>
          <w:p w:rsidR="0056085F" w:rsidRPr="00014DB8" w:rsidRDefault="0056085F" w:rsidP="00014DB8">
            <w:pPr>
              <w:tabs>
                <w:tab w:val="left" w:pos="990"/>
              </w:tabs>
              <w:spacing w:before="120"/>
              <w:rPr>
                <w:i/>
                <w:sz w:val="32"/>
                <w:szCs w:val="32"/>
              </w:rPr>
            </w:pPr>
            <w:r w:rsidRPr="00014DB8">
              <w:rPr>
                <w:i/>
                <w:sz w:val="32"/>
                <w:szCs w:val="32"/>
              </w:rPr>
              <w:t>In This Issue of the Payroll Bulletin…....</w:t>
            </w:r>
          </w:p>
          <w:p w:rsidR="0056085F" w:rsidRPr="00014DB8" w:rsidRDefault="0056085F" w:rsidP="00014DB8">
            <w:pPr>
              <w:spacing w:before="120"/>
              <w:rPr>
                <w:b/>
              </w:rPr>
            </w:pPr>
          </w:p>
        </w:tc>
        <w:tc>
          <w:tcPr>
            <w:tcW w:w="4112" w:type="dxa"/>
          </w:tcPr>
          <w:p w:rsidR="005D49E7" w:rsidRDefault="006C39A4" w:rsidP="005D49E7">
            <w:pPr>
              <w:pStyle w:val="ListParagraph"/>
              <w:numPr>
                <w:ilvl w:val="0"/>
                <w:numId w:val="7"/>
              </w:numPr>
              <w:rPr>
                <w:sz w:val="20"/>
              </w:rPr>
            </w:pPr>
            <w:r>
              <w:rPr>
                <w:sz w:val="20"/>
              </w:rPr>
              <w:t xml:space="preserve">HCM </w:t>
            </w:r>
            <w:r w:rsidR="002F7063">
              <w:rPr>
                <w:sz w:val="20"/>
              </w:rPr>
              <w:t>Paycheck History Report</w:t>
            </w:r>
          </w:p>
          <w:p w:rsidR="00AD453C" w:rsidRDefault="006C39A4" w:rsidP="002F7063">
            <w:pPr>
              <w:pStyle w:val="ListParagraph"/>
              <w:numPr>
                <w:ilvl w:val="0"/>
                <w:numId w:val="7"/>
              </w:numPr>
              <w:rPr>
                <w:sz w:val="20"/>
              </w:rPr>
            </w:pPr>
            <w:r>
              <w:rPr>
                <w:sz w:val="20"/>
              </w:rPr>
              <w:t xml:space="preserve">HCM </w:t>
            </w:r>
            <w:bookmarkStart w:id="0" w:name="_GoBack"/>
            <w:bookmarkEnd w:id="0"/>
            <w:r w:rsidR="00AD453C">
              <w:rPr>
                <w:sz w:val="20"/>
              </w:rPr>
              <w:t>New Hire Reporting</w:t>
            </w:r>
          </w:p>
          <w:p w:rsidR="002F7063" w:rsidRDefault="002F7063" w:rsidP="002F7063">
            <w:pPr>
              <w:pStyle w:val="ListParagraph"/>
              <w:numPr>
                <w:ilvl w:val="0"/>
                <w:numId w:val="7"/>
              </w:numPr>
              <w:rPr>
                <w:sz w:val="20"/>
              </w:rPr>
            </w:pPr>
            <w:r>
              <w:rPr>
                <w:sz w:val="20"/>
              </w:rPr>
              <w:t>SPO SharePoint</w:t>
            </w:r>
            <w:r w:rsidR="00847524">
              <w:rPr>
                <w:sz w:val="20"/>
              </w:rPr>
              <w:t xml:space="preserve"> Update</w:t>
            </w:r>
          </w:p>
          <w:p w:rsidR="002F7063" w:rsidRPr="00AC21E2" w:rsidRDefault="002F7063" w:rsidP="00CD3254">
            <w:pPr>
              <w:pStyle w:val="ListParagraph"/>
              <w:ind w:left="900"/>
              <w:rPr>
                <w:sz w:val="20"/>
              </w:rPr>
            </w:pPr>
          </w:p>
        </w:tc>
        <w:tc>
          <w:tcPr>
            <w:tcW w:w="3795" w:type="dxa"/>
          </w:tcPr>
          <w:p w:rsidR="0056085F" w:rsidRPr="00014DB8" w:rsidRDefault="0056085F" w:rsidP="00014DB8">
            <w:pPr>
              <w:tabs>
                <w:tab w:val="left" w:pos="990"/>
              </w:tabs>
              <w:spacing w:before="120"/>
              <w:rPr>
                <w:sz w:val="20"/>
              </w:rPr>
            </w:pPr>
            <w:r w:rsidRPr="00014DB8">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7" w:history="1">
              <w:r w:rsidRPr="00014DB8">
                <w:rPr>
                  <w:rStyle w:val="Hyperlink"/>
                  <w:sz w:val="20"/>
                </w:rPr>
                <w:t>cathy.mcgill@doa.virginia.gov</w:t>
              </w:r>
            </w:hyperlink>
          </w:p>
          <w:p w:rsidR="0056085F" w:rsidRPr="00014DB8" w:rsidRDefault="0056085F" w:rsidP="00014DB8">
            <w:pPr>
              <w:tabs>
                <w:tab w:val="left" w:pos="990"/>
              </w:tabs>
              <w:spacing w:before="120"/>
              <w:jc w:val="both"/>
              <w:rPr>
                <w:sz w:val="20"/>
                <w:u w:val="single"/>
              </w:rPr>
            </w:pPr>
            <w:r w:rsidRPr="00014DB8">
              <w:rPr>
                <w:sz w:val="20"/>
                <w:u w:val="single"/>
              </w:rPr>
              <w:t>State Payroll Operations</w:t>
            </w:r>
          </w:p>
          <w:p w:rsidR="0056085F" w:rsidRPr="00014DB8" w:rsidRDefault="0056085F" w:rsidP="00014DB8">
            <w:pPr>
              <w:tabs>
                <w:tab w:val="left" w:pos="990"/>
              </w:tabs>
              <w:spacing w:before="120"/>
              <w:rPr>
                <w:sz w:val="20"/>
              </w:rPr>
            </w:pPr>
            <w:r w:rsidRPr="00014DB8">
              <w:rPr>
                <w:b/>
                <w:sz w:val="20"/>
              </w:rPr>
              <w:t xml:space="preserve">Director                         </w:t>
            </w:r>
            <w:r w:rsidR="00B15C03">
              <w:rPr>
                <w:b/>
                <w:sz w:val="20"/>
              </w:rPr>
              <w:t>Cathy C. McGill</w:t>
            </w:r>
          </w:p>
          <w:p w:rsidR="0056085F" w:rsidRPr="00014DB8" w:rsidRDefault="00B15C03" w:rsidP="00B15C03">
            <w:pPr>
              <w:tabs>
                <w:tab w:val="left" w:pos="990"/>
              </w:tabs>
              <w:spacing w:before="120"/>
              <w:rPr>
                <w:szCs w:val="24"/>
              </w:rPr>
            </w:pPr>
            <w:r>
              <w:rPr>
                <w:sz w:val="20"/>
              </w:rPr>
              <w:t>Assistant</w:t>
            </w:r>
            <w:r w:rsidR="0056085F" w:rsidRPr="00014DB8">
              <w:rPr>
                <w:sz w:val="20"/>
              </w:rPr>
              <w:t xml:space="preserve"> Director          </w:t>
            </w:r>
            <w:r w:rsidR="00DF4DE7">
              <w:rPr>
                <w:sz w:val="20"/>
              </w:rPr>
              <w:t xml:space="preserve"> </w:t>
            </w:r>
            <w:r>
              <w:rPr>
                <w:sz w:val="20"/>
              </w:rPr>
              <w:t>Carmelita Holmes</w:t>
            </w:r>
          </w:p>
        </w:tc>
      </w:tr>
    </w:tbl>
    <w:p w:rsidR="005B3E5E" w:rsidRPr="00C6337F" w:rsidRDefault="005B3E5E" w:rsidP="005B3E5E">
      <w:pPr>
        <w:pStyle w:val="BlockLine"/>
        <w:spacing w:before="120"/>
        <w:ind w:left="1627"/>
        <w:rPr>
          <w:sz w:val="16"/>
          <w:szCs w:val="16"/>
        </w:rPr>
      </w:pPr>
    </w:p>
    <w:p w:rsidR="00AC2383" w:rsidRPr="00EF2B82" w:rsidRDefault="00012A00" w:rsidP="00AC2383">
      <w:pPr>
        <w:pStyle w:val="MapTitleContinued"/>
        <w:spacing w:after="0"/>
        <w:outlineLvl w:val="0"/>
        <w:rPr>
          <w:rFonts w:ascii="Times New Roman" w:hAnsi="Times New Roman"/>
          <w:sz w:val="28"/>
          <w:szCs w:val="28"/>
        </w:rPr>
      </w:pPr>
      <w:r>
        <w:rPr>
          <w:rFonts w:ascii="Times New Roman" w:hAnsi="Times New Roman"/>
          <w:sz w:val="28"/>
          <w:szCs w:val="28"/>
        </w:rPr>
        <w:t>Paycheck History Report</w:t>
      </w:r>
    </w:p>
    <w:p w:rsidR="00CE2BF4" w:rsidRPr="000938AD" w:rsidRDefault="00CE2BF4" w:rsidP="005B3E5E">
      <w:pPr>
        <w:pStyle w:val="BlockLine"/>
        <w:spacing w:before="120"/>
        <w:ind w:left="1627"/>
        <w:rPr>
          <w:sz w:val="16"/>
          <w:szCs w:val="16"/>
        </w:rPr>
      </w:pPr>
    </w:p>
    <w:tbl>
      <w:tblPr>
        <w:tblW w:w="10188" w:type="dxa"/>
        <w:tblLayout w:type="fixed"/>
        <w:tblLook w:val="0000" w:firstRow="0" w:lastRow="0" w:firstColumn="0" w:lastColumn="0" w:noHBand="0" w:noVBand="0"/>
      </w:tblPr>
      <w:tblGrid>
        <w:gridCol w:w="1620"/>
        <w:gridCol w:w="8568"/>
      </w:tblGrid>
      <w:tr w:rsidR="00CE2BF4" w:rsidRPr="00C6337F" w:rsidTr="002C051D">
        <w:trPr>
          <w:cantSplit/>
          <w:trHeight w:val="8613"/>
        </w:trPr>
        <w:tc>
          <w:tcPr>
            <w:tcW w:w="1620" w:type="dxa"/>
          </w:tcPr>
          <w:p w:rsidR="00CE2BF4" w:rsidRPr="00C6337F" w:rsidRDefault="00012A00" w:rsidP="00AC2383">
            <w:pPr>
              <w:pStyle w:val="Heading5"/>
              <w:rPr>
                <w:szCs w:val="22"/>
              </w:rPr>
            </w:pPr>
            <w:r w:rsidRPr="00012A00">
              <w:rPr>
                <w:szCs w:val="22"/>
              </w:rPr>
              <w:t>Paycheck History Report</w:t>
            </w:r>
          </w:p>
        </w:tc>
        <w:tc>
          <w:tcPr>
            <w:tcW w:w="8568" w:type="dxa"/>
          </w:tcPr>
          <w:p w:rsidR="00DB22C8" w:rsidRPr="00DB22C8" w:rsidRDefault="00DB22C8" w:rsidP="00DB22C8">
            <w:pPr>
              <w:shd w:val="clear" w:color="auto" w:fill="FFFFFF"/>
              <w:rPr>
                <w:rFonts w:cs="Arial"/>
                <w:color w:val="222222"/>
                <w:sz w:val="22"/>
                <w:szCs w:val="22"/>
              </w:rPr>
            </w:pPr>
            <w:r w:rsidRPr="00DB22C8">
              <w:rPr>
                <w:rFonts w:cs="Arial"/>
                <w:color w:val="222222"/>
                <w:sz w:val="22"/>
                <w:szCs w:val="22"/>
              </w:rPr>
              <w:t xml:space="preserve">This report will list the </w:t>
            </w:r>
            <w:r w:rsidR="006E1019" w:rsidRPr="006E1019">
              <w:rPr>
                <w:rFonts w:cs="Arial"/>
                <w:b/>
                <w:color w:val="222222"/>
                <w:sz w:val="22"/>
                <w:szCs w:val="22"/>
              </w:rPr>
              <w:t>confirmed</w:t>
            </w:r>
            <w:r w:rsidR="006E1019">
              <w:rPr>
                <w:rFonts w:cs="Arial"/>
                <w:color w:val="222222"/>
                <w:sz w:val="22"/>
                <w:szCs w:val="22"/>
              </w:rPr>
              <w:t xml:space="preserve"> </w:t>
            </w:r>
            <w:r w:rsidRPr="00DB22C8">
              <w:rPr>
                <w:rFonts w:cs="Arial"/>
                <w:color w:val="222222"/>
                <w:sz w:val="22"/>
                <w:szCs w:val="22"/>
              </w:rPr>
              <w:t xml:space="preserve">paycheck history for </w:t>
            </w:r>
            <w:r w:rsidR="006E1019" w:rsidRPr="006E1019">
              <w:rPr>
                <w:rFonts w:cs="Arial"/>
                <w:bCs/>
                <w:color w:val="222222"/>
                <w:sz w:val="22"/>
                <w:szCs w:val="22"/>
              </w:rPr>
              <w:t>a specific employee for the payrolls</w:t>
            </w:r>
            <w:r w:rsidR="006E1019">
              <w:rPr>
                <w:rFonts w:cs="Arial"/>
                <w:b/>
                <w:bCs/>
                <w:color w:val="222222"/>
                <w:sz w:val="22"/>
                <w:szCs w:val="22"/>
              </w:rPr>
              <w:t xml:space="preserve"> </w:t>
            </w:r>
            <w:r w:rsidRPr="006E1019">
              <w:rPr>
                <w:rFonts w:cs="Arial"/>
                <w:color w:val="222222"/>
                <w:sz w:val="22"/>
                <w:szCs w:val="22"/>
              </w:rPr>
              <w:t>included in t</w:t>
            </w:r>
            <w:r w:rsidRPr="00DB22C8">
              <w:rPr>
                <w:rFonts w:cs="Arial"/>
                <w:color w:val="222222"/>
                <w:sz w:val="22"/>
                <w:szCs w:val="22"/>
              </w:rPr>
              <w:t xml:space="preserve">he </w:t>
            </w:r>
            <w:r w:rsidRPr="006E1019">
              <w:rPr>
                <w:rFonts w:cs="Arial"/>
                <w:color w:val="222222"/>
                <w:sz w:val="22"/>
                <w:szCs w:val="22"/>
              </w:rPr>
              <w:t xml:space="preserve">identified </w:t>
            </w:r>
            <w:r w:rsidRPr="00DB22C8">
              <w:rPr>
                <w:rFonts w:cs="Arial"/>
                <w:color w:val="222222"/>
                <w:sz w:val="22"/>
                <w:szCs w:val="22"/>
              </w:rPr>
              <w:t xml:space="preserve">check </w:t>
            </w:r>
            <w:r w:rsidRPr="006E1019">
              <w:rPr>
                <w:rFonts w:cs="Arial"/>
                <w:color w:val="222222"/>
                <w:sz w:val="22"/>
                <w:szCs w:val="22"/>
              </w:rPr>
              <w:t xml:space="preserve">date </w:t>
            </w:r>
            <w:r w:rsidRPr="00DB22C8">
              <w:rPr>
                <w:rFonts w:cs="Arial"/>
                <w:color w:val="222222"/>
                <w:sz w:val="22"/>
                <w:szCs w:val="22"/>
              </w:rPr>
              <w:t xml:space="preserve">range, </w:t>
            </w:r>
            <w:r w:rsidRPr="006E1019">
              <w:rPr>
                <w:rFonts w:cs="Arial"/>
                <w:color w:val="222222"/>
                <w:sz w:val="22"/>
                <w:szCs w:val="22"/>
              </w:rPr>
              <w:t xml:space="preserve">including </w:t>
            </w:r>
            <w:r w:rsidRPr="00DB22C8">
              <w:rPr>
                <w:rFonts w:cs="Arial"/>
                <w:color w:val="222222"/>
                <w:sz w:val="22"/>
                <w:szCs w:val="22"/>
              </w:rPr>
              <w:t>earnings/taxes/deductions</w:t>
            </w:r>
            <w:r w:rsidR="006E1019">
              <w:rPr>
                <w:rFonts w:cs="Arial"/>
                <w:color w:val="222222"/>
                <w:sz w:val="22"/>
                <w:szCs w:val="22"/>
              </w:rPr>
              <w:t>, which can be specified if only a particular code(s) is needed</w:t>
            </w:r>
            <w:r w:rsidRPr="006E1019">
              <w:rPr>
                <w:rFonts w:cs="Arial"/>
                <w:color w:val="222222"/>
                <w:sz w:val="22"/>
                <w:szCs w:val="22"/>
              </w:rPr>
              <w:t>.  E</w:t>
            </w:r>
            <w:r w:rsidRPr="00DB22C8">
              <w:rPr>
                <w:rFonts w:cs="Arial"/>
                <w:color w:val="222222"/>
                <w:sz w:val="22"/>
                <w:szCs w:val="22"/>
              </w:rPr>
              <w:t>mployee Number and Check date range are the only required fields</w:t>
            </w:r>
            <w:r w:rsidRPr="006E1019">
              <w:rPr>
                <w:rFonts w:cs="Arial"/>
                <w:color w:val="222222"/>
                <w:sz w:val="22"/>
                <w:szCs w:val="22"/>
              </w:rPr>
              <w:t xml:space="preserve"> on the run control page.  The remaining fields are optional.</w:t>
            </w:r>
            <w:r w:rsidRPr="00DB22C8">
              <w:rPr>
                <w:rFonts w:cs="Arial"/>
                <w:color w:val="222222"/>
                <w:sz w:val="22"/>
                <w:szCs w:val="22"/>
              </w:rPr>
              <w:t> </w:t>
            </w:r>
          </w:p>
          <w:p w:rsidR="00DB22C8" w:rsidRPr="00DB22C8" w:rsidRDefault="00DB22C8" w:rsidP="00DB22C8">
            <w:pPr>
              <w:shd w:val="clear" w:color="auto" w:fill="FFFFFF"/>
              <w:rPr>
                <w:rFonts w:cs="Arial"/>
                <w:color w:val="222222"/>
                <w:sz w:val="16"/>
                <w:szCs w:val="16"/>
              </w:rPr>
            </w:pPr>
          </w:p>
          <w:p w:rsidR="00AE05F0" w:rsidRDefault="00DB22C8" w:rsidP="00DB22C8">
            <w:pPr>
              <w:shd w:val="clear" w:color="auto" w:fill="FFFFFF"/>
              <w:rPr>
                <w:rFonts w:cs="Arial"/>
                <w:color w:val="222222"/>
              </w:rPr>
            </w:pPr>
            <w:r w:rsidRPr="00DB22C8">
              <w:rPr>
                <w:rFonts w:cs="Arial"/>
                <w:color w:val="222222"/>
                <w:sz w:val="22"/>
                <w:szCs w:val="22"/>
              </w:rPr>
              <w:t>Navigator &gt; Payroll for North America &gt; Payroll Processing USA &gt; Pay Period Reports &gt; Paycheck History Report</w:t>
            </w:r>
          </w:p>
          <w:p w:rsidR="006E1019" w:rsidRPr="002C051D" w:rsidRDefault="002C051D" w:rsidP="00DB22C8">
            <w:pPr>
              <w:shd w:val="clear" w:color="auto" w:fill="FFFFFF"/>
              <w:rPr>
                <w:rFonts w:cs="Arial"/>
                <w:color w:val="222222"/>
                <w:sz w:val="16"/>
                <w:szCs w:val="16"/>
              </w:rPr>
            </w:pPr>
            <w:r>
              <w:rPr>
                <w:noProof/>
              </w:rPr>
              <w:drawing>
                <wp:inline distT="0" distB="0" distL="0" distR="0" wp14:anchorId="518C1B97" wp14:editId="070B5310">
                  <wp:extent cx="5303520" cy="42449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3520" cy="4244975"/>
                          </a:xfrm>
                          <a:prstGeom prst="rect">
                            <a:avLst/>
                          </a:prstGeom>
                        </pic:spPr>
                      </pic:pic>
                    </a:graphicData>
                  </a:graphic>
                </wp:inline>
              </w:drawing>
            </w:r>
          </w:p>
        </w:tc>
      </w:tr>
    </w:tbl>
    <w:p w:rsidR="00C6337F" w:rsidRDefault="00C6337F" w:rsidP="00B3001A">
      <w:pPr>
        <w:rPr>
          <w:sz w:val="16"/>
          <w:szCs w:val="16"/>
        </w:rPr>
      </w:pPr>
    </w:p>
    <w:p w:rsidR="003857CD" w:rsidRPr="002C051D" w:rsidRDefault="007C13DE" w:rsidP="003857CD">
      <w:pPr>
        <w:pStyle w:val="ContinuedOnNextPa"/>
        <w:pBdr>
          <w:top w:val="single" w:sz="6" w:space="0" w:color="auto"/>
        </w:pBdr>
        <w:rPr>
          <w:i w:val="0"/>
        </w:rPr>
      </w:pPr>
      <w:r>
        <w:tab/>
      </w:r>
      <w:r>
        <w:tab/>
      </w:r>
    </w:p>
    <w:p w:rsidR="000D74B2" w:rsidRPr="00900846" w:rsidRDefault="00186D13" w:rsidP="003857CD">
      <w:pPr>
        <w:rPr>
          <w:b/>
          <w:sz w:val="16"/>
          <w:szCs w:val="16"/>
        </w:rPr>
      </w:pPr>
      <w:r>
        <w:rPr>
          <w:b/>
          <w:sz w:val="28"/>
          <w:szCs w:val="28"/>
        </w:rPr>
        <w:br w:type="page"/>
      </w:r>
      <w:r w:rsidR="00374978">
        <w:rPr>
          <w:b/>
          <w:sz w:val="28"/>
          <w:szCs w:val="28"/>
        </w:rPr>
        <w:lastRenderedPageBreak/>
        <w:t>New Hire Reporting</w:t>
      </w:r>
    </w:p>
    <w:p w:rsidR="000D74B2" w:rsidRPr="00900846" w:rsidRDefault="000D74B2" w:rsidP="000D74B2">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900846" w:rsidTr="00484094">
        <w:trPr>
          <w:cantSplit/>
        </w:trPr>
        <w:tc>
          <w:tcPr>
            <w:tcW w:w="1728" w:type="dxa"/>
          </w:tcPr>
          <w:p w:rsidR="00900846" w:rsidRPr="00EE5E09" w:rsidRDefault="002C3142" w:rsidP="00900846">
            <w:pPr>
              <w:rPr>
                <w:b/>
                <w:sz w:val="22"/>
                <w:szCs w:val="22"/>
              </w:rPr>
            </w:pPr>
            <w:r>
              <w:rPr>
                <w:b/>
                <w:sz w:val="22"/>
                <w:szCs w:val="22"/>
              </w:rPr>
              <w:t>New Hire Reporting</w:t>
            </w:r>
          </w:p>
        </w:tc>
        <w:tc>
          <w:tcPr>
            <w:tcW w:w="8460" w:type="dxa"/>
          </w:tcPr>
          <w:p w:rsidR="005B079D" w:rsidRPr="00EE5E09" w:rsidRDefault="007161BC" w:rsidP="00D76406">
            <w:pPr>
              <w:rPr>
                <w:sz w:val="22"/>
                <w:szCs w:val="22"/>
              </w:rPr>
            </w:pPr>
            <w:r>
              <w:rPr>
                <w:sz w:val="22"/>
                <w:szCs w:val="22"/>
              </w:rPr>
              <w:t>State Payroll Operations uploads the New Hire Report to the New Hire Reporting Center every other Wednesday.  This report looks for new hire records added to the system with effective dates that fall within the last 21 days of the date the report is run.  It is possible that employees added retroactively will not be included in the report.  In those cases, the agency must report them directly to the New Hire Reporting Center</w:t>
            </w:r>
            <w:r w:rsidR="00DC01C0">
              <w:rPr>
                <w:sz w:val="22"/>
                <w:szCs w:val="22"/>
              </w:rPr>
              <w:t xml:space="preserve"> (</w:t>
            </w:r>
            <w:r w:rsidR="00DC01C0" w:rsidRPr="00DC01C0">
              <w:rPr>
                <w:sz w:val="22"/>
                <w:szCs w:val="22"/>
              </w:rPr>
              <w:t>https://va-newhire.com</w:t>
            </w:r>
            <w:r w:rsidR="00DC01C0">
              <w:rPr>
                <w:sz w:val="22"/>
                <w:szCs w:val="22"/>
              </w:rPr>
              <w:t>)</w:t>
            </w:r>
          </w:p>
        </w:tc>
      </w:tr>
    </w:tbl>
    <w:p w:rsidR="00D76406" w:rsidRPr="008B018E" w:rsidRDefault="00D76406" w:rsidP="00D76406">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D76406" w:rsidTr="00AA571B">
        <w:trPr>
          <w:cantSplit/>
        </w:trPr>
        <w:tc>
          <w:tcPr>
            <w:tcW w:w="1728" w:type="dxa"/>
          </w:tcPr>
          <w:p w:rsidR="00D76406" w:rsidRPr="00EE5E09" w:rsidRDefault="00D76406" w:rsidP="00AA571B">
            <w:pPr>
              <w:pStyle w:val="Heading5"/>
              <w:rPr>
                <w:szCs w:val="22"/>
              </w:rPr>
            </w:pPr>
            <w:r>
              <w:rPr>
                <w:szCs w:val="22"/>
              </w:rPr>
              <w:t>Data Query</w:t>
            </w:r>
          </w:p>
        </w:tc>
        <w:tc>
          <w:tcPr>
            <w:tcW w:w="8460" w:type="dxa"/>
          </w:tcPr>
          <w:p w:rsidR="00D76406" w:rsidRDefault="00A166BA" w:rsidP="00D76406">
            <w:pPr>
              <w:rPr>
                <w:sz w:val="22"/>
                <w:szCs w:val="22"/>
              </w:rPr>
            </w:pPr>
            <w:r>
              <w:rPr>
                <w:sz w:val="22"/>
                <w:szCs w:val="22"/>
              </w:rPr>
              <w:t>HCM payroll a</w:t>
            </w:r>
            <w:r w:rsidR="00D76406">
              <w:rPr>
                <w:sz w:val="22"/>
                <w:szCs w:val="22"/>
              </w:rPr>
              <w:t>gencies should use the following tools to determine whether or not there are employees that missed the New Hire Report.</w:t>
            </w:r>
          </w:p>
          <w:p w:rsidR="00D76406" w:rsidRDefault="00D76406" w:rsidP="00D76406">
            <w:pPr>
              <w:rPr>
                <w:sz w:val="22"/>
                <w:szCs w:val="22"/>
              </w:rPr>
            </w:pPr>
            <w:r>
              <w:rPr>
                <w:sz w:val="22"/>
                <w:szCs w:val="22"/>
              </w:rPr>
              <w:t xml:space="preserve">   </w:t>
            </w:r>
          </w:p>
          <w:p w:rsidR="00D76406" w:rsidRPr="005B079D" w:rsidRDefault="00D76406" w:rsidP="00D76406">
            <w:pPr>
              <w:rPr>
                <w:sz w:val="22"/>
                <w:szCs w:val="22"/>
              </w:rPr>
            </w:pPr>
            <w:r>
              <w:rPr>
                <w:sz w:val="22"/>
                <w:szCs w:val="22"/>
              </w:rPr>
              <w:t xml:space="preserve">Run the V_HR_JOB_QUERY and </w:t>
            </w:r>
            <w:r w:rsidRPr="005B079D">
              <w:rPr>
                <w:sz w:val="22"/>
                <w:szCs w:val="22"/>
              </w:rPr>
              <w:t xml:space="preserve">use </w:t>
            </w:r>
            <w:r>
              <w:rPr>
                <w:sz w:val="22"/>
                <w:szCs w:val="22"/>
              </w:rPr>
              <w:t>“</w:t>
            </w:r>
            <w:r w:rsidRPr="005B079D">
              <w:rPr>
                <w:sz w:val="22"/>
                <w:szCs w:val="22"/>
              </w:rPr>
              <w:t>HIR</w:t>
            </w:r>
            <w:r>
              <w:rPr>
                <w:sz w:val="22"/>
                <w:szCs w:val="22"/>
              </w:rPr>
              <w:t>”</w:t>
            </w:r>
            <w:r w:rsidRPr="005B079D">
              <w:rPr>
                <w:sz w:val="22"/>
                <w:szCs w:val="22"/>
              </w:rPr>
              <w:t xml:space="preserve"> (Hire) </w:t>
            </w:r>
            <w:r>
              <w:rPr>
                <w:sz w:val="22"/>
                <w:szCs w:val="22"/>
              </w:rPr>
              <w:t>in the Action field and “</w:t>
            </w:r>
            <w:r w:rsidRPr="005B079D">
              <w:rPr>
                <w:sz w:val="22"/>
                <w:szCs w:val="22"/>
              </w:rPr>
              <w:t>New</w:t>
            </w:r>
            <w:r>
              <w:rPr>
                <w:sz w:val="22"/>
                <w:szCs w:val="22"/>
              </w:rPr>
              <w:t>”</w:t>
            </w:r>
            <w:r w:rsidRPr="005B079D">
              <w:rPr>
                <w:sz w:val="22"/>
                <w:szCs w:val="22"/>
              </w:rPr>
              <w:t> </w:t>
            </w:r>
            <w:r>
              <w:rPr>
                <w:sz w:val="22"/>
                <w:szCs w:val="22"/>
              </w:rPr>
              <w:t>in the Reason field.  Run a second time with “</w:t>
            </w:r>
            <w:r w:rsidRPr="005B079D">
              <w:rPr>
                <w:sz w:val="22"/>
                <w:szCs w:val="22"/>
              </w:rPr>
              <w:t>REH</w:t>
            </w:r>
            <w:r>
              <w:rPr>
                <w:sz w:val="22"/>
                <w:szCs w:val="22"/>
              </w:rPr>
              <w:t>”</w:t>
            </w:r>
            <w:r w:rsidRPr="005B079D">
              <w:rPr>
                <w:sz w:val="22"/>
                <w:szCs w:val="22"/>
              </w:rPr>
              <w:t xml:space="preserve"> (rehire) </w:t>
            </w:r>
            <w:r>
              <w:rPr>
                <w:sz w:val="22"/>
                <w:szCs w:val="22"/>
              </w:rPr>
              <w:t xml:space="preserve">in the Action field </w:t>
            </w:r>
            <w:r w:rsidRPr="005B079D">
              <w:rPr>
                <w:sz w:val="22"/>
                <w:szCs w:val="22"/>
              </w:rPr>
              <w:t xml:space="preserve">and </w:t>
            </w:r>
            <w:r>
              <w:rPr>
                <w:sz w:val="22"/>
                <w:szCs w:val="22"/>
              </w:rPr>
              <w:t>“</w:t>
            </w:r>
            <w:r w:rsidRPr="005B079D">
              <w:rPr>
                <w:sz w:val="22"/>
                <w:szCs w:val="22"/>
              </w:rPr>
              <w:t>REH</w:t>
            </w:r>
            <w:r>
              <w:rPr>
                <w:sz w:val="22"/>
                <w:szCs w:val="22"/>
              </w:rPr>
              <w:t>” in the Reason field</w:t>
            </w:r>
            <w:r w:rsidRPr="005B079D">
              <w:rPr>
                <w:sz w:val="22"/>
                <w:szCs w:val="22"/>
              </w:rPr>
              <w:t xml:space="preserve">.  </w:t>
            </w:r>
            <w:r>
              <w:rPr>
                <w:sz w:val="22"/>
                <w:szCs w:val="22"/>
              </w:rPr>
              <w:t xml:space="preserve">Enter </w:t>
            </w:r>
            <w:r w:rsidRPr="005B079D">
              <w:rPr>
                <w:sz w:val="22"/>
                <w:szCs w:val="22"/>
              </w:rPr>
              <w:t xml:space="preserve">the </w:t>
            </w:r>
            <w:r>
              <w:rPr>
                <w:sz w:val="22"/>
                <w:szCs w:val="22"/>
              </w:rPr>
              <w:t xml:space="preserve">end date from </w:t>
            </w:r>
            <w:r w:rsidRPr="005B079D">
              <w:rPr>
                <w:sz w:val="22"/>
                <w:szCs w:val="22"/>
              </w:rPr>
              <w:t xml:space="preserve">the new hire report date range </w:t>
            </w:r>
            <w:r>
              <w:rPr>
                <w:sz w:val="22"/>
                <w:szCs w:val="22"/>
              </w:rPr>
              <w:t>(you can see the date ranges in the monthly detailed operations schedule) in the As of Date field</w:t>
            </w:r>
            <w:r w:rsidRPr="005B079D">
              <w:rPr>
                <w:sz w:val="22"/>
                <w:szCs w:val="22"/>
              </w:rPr>
              <w:t xml:space="preserve">.  </w:t>
            </w:r>
            <w:r>
              <w:rPr>
                <w:sz w:val="22"/>
                <w:szCs w:val="22"/>
              </w:rPr>
              <w:t>You may leave the Business Unit field blank to see results for all agencies you have access to or you can run for a specific agency</w:t>
            </w:r>
            <w:r w:rsidRPr="005B079D">
              <w:rPr>
                <w:sz w:val="22"/>
                <w:szCs w:val="22"/>
              </w:rPr>
              <w:t>.</w:t>
            </w:r>
          </w:p>
          <w:p w:rsidR="00D76406" w:rsidRDefault="00D76406" w:rsidP="00D76406">
            <w:pPr>
              <w:rPr>
                <w:sz w:val="22"/>
                <w:szCs w:val="22"/>
              </w:rPr>
            </w:pPr>
          </w:p>
          <w:p w:rsidR="00D76406" w:rsidRDefault="00D76406" w:rsidP="00D76406">
            <w:pPr>
              <w:rPr>
                <w:sz w:val="22"/>
                <w:szCs w:val="22"/>
              </w:rPr>
            </w:pPr>
            <w:r>
              <w:rPr>
                <w:noProof/>
              </w:rPr>
              <w:drawing>
                <wp:inline distT="0" distB="0" distL="0" distR="0" wp14:anchorId="25CF2091" wp14:editId="1621254F">
                  <wp:extent cx="4533900" cy="3114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33900" cy="3114675"/>
                          </a:xfrm>
                          <a:prstGeom prst="rect">
                            <a:avLst/>
                          </a:prstGeom>
                        </pic:spPr>
                      </pic:pic>
                    </a:graphicData>
                  </a:graphic>
                </wp:inline>
              </w:drawing>
            </w:r>
          </w:p>
          <w:p w:rsidR="00D76406" w:rsidRPr="00EE5E09" w:rsidRDefault="00D76406" w:rsidP="00D76406">
            <w:pPr>
              <w:shd w:val="clear" w:color="auto" w:fill="FFFFFF"/>
              <w:rPr>
                <w:color w:val="222222"/>
                <w:sz w:val="22"/>
                <w:szCs w:val="22"/>
              </w:rPr>
            </w:pPr>
            <w:r>
              <w:rPr>
                <w:sz w:val="22"/>
                <w:szCs w:val="22"/>
              </w:rPr>
              <w:t>Pay particular attention to the Effective Date and the Action Date.  The effective date provides the actual hire date and the Action Date indicates when the record was added to the system.  If the Effective Date is prior to the beginning date of the date range of the New Hire Report and the Action Date is within the date range of the New Hire Report, then the employee was not included on the file that went to the New Hire Reporting Center and must be reported by the agency.</w:t>
            </w:r>
          </w:p>
        </w:tc>
      </w:tr>
    </w:tbl>
    <w:p w:rsidR="009446A6" w:rsidRDefault="008352BB" w:rsidP="008352BB">
      <w:pPr>
        <w:pStyle w:val="BlockLine"/>
        <w:ind w:left="1620"/>
        <w:jc w:val="right"/>
        <w:rPr>
          <w:i/>
          <w:sz w:val="16"/>
          <w:szCs w:val="16"/>
        </w:rPr>
      </w:pPr>
      <w:r>
        <w:rPr>
          <w:i/>
          <w:sz w:val="16"/>
          <w:szCs w:val="16"/>
        </w:rPr>
        <w:t>Continued on the next page</w:t>
      </w:r>
    </w:p>
    <w:p w:rsidR="00374978" w:rsidRDefault="00374978" w:rsidP="00374978"/>
    <w:p w:rsidR="00374978" w:rsidRDefault="00374978" w:rsidP="00374978"/>
    <w:p w:rsidR="00374978" w:rsidRDefault="00374978" w:rsidP="00374978"/>
    <w:p w:rsidR="00374978" w:rsidRDefault="00374978" w:rsidP="00374978"/>
    <w:p w:rsidR="00374978" w:rsidRDefault="00374978" w:rsidP="00374978"/>
    <w:p w:rsidR="00374978" w:rsidRDefault="00374978" w:rsidP="00374978"/>
    <w:p w:rsidR="00374978" w:rsidRPr="00900846" w:rsidRDefault="00374978" w:rsidP="00374978">
      <w:pPr>
        <w:rPr>
          <w:b/>
          <w:sz w:val="16"/>
          <w:szCs w:val="16"/>
        </w:rPr>
      </w:pPr>
      <w:r>
        <w:rPr>
          <w:b/>
          <w:sz w:val="28"/>
          <w:szCs w:val="28"/>
        </w:rPr>
        <w:lastRenderedPageBreak/>
        <w:t xml:space="preserve">New Hire Reporting, </w:t>
      </w:r>
      <w:r w:rsidRPr="00374978">
        <w:rPr>
          <w:b/>
          <w:szCs w:val="24"/>
        </w:rPr>
        <w:t>cont.</w:t>
      </w:r>
    </w:p>
    <w:p w:rsidR="00374978" w:rsidRPr="00900846" w:rsidRDefault="00374978" w:rsidP="00374978">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C009EA" w:rsidTr="00AA571B">
        <w:trPr>
          <w:cantSplit/>
        </w:trPr>
        <w:tc>
          <w:tcPr>
            <w:tcW w:w="1728" w:type="dxa"/>
          </w:tcPr>
          <w:p w:rsidR="00C009EA" w:rsidRPr="00EE5E09" w:rsidRDefault="008352BB" w:rsidP="00AA571B">
            <w:pPr>
              <w:pStyle w:val="Heading5"/>
              <w:rPr>
                <w:szCs w:val="22"/>
              </w:rPr>
            </w:pPr>
            <w:r>
              <w:rPr>
                <w:szCs w:val="22"/>
              </w:rPr>
              <w:t>New Hire Report</w:t>
            </w:r>
          </w:p>
        </w:tc>
        <w:tc>
          <w:tcPr>
            <w:tcW w:w="8460" w:type="dxa"/>
          </w:tcPr>
          <w:p w:rsidR="00C009EA" w:rsidRDefault="008352BB" w:rsidP="00C009EA">
            <w:pPr>
              <w:rPr>
                <w:sz w:val="22"/>
                <w:szCs w:val="22"/>
              </w:rPr>
            </w:pPr>
            <w:r>
              <w:rPr>
                <w:sz w:val="22"/>
                <w:szCs w:val="22"/>
              </w:rPr>
              <w:t>The New Hire Report can be run to confirm whether or not an employee was included.</w:t>
            </w:r>
            <w:r w:rsidR="00C009EA">
              <w:rPr>
                <w:sz w:val="22"/>
                <w:szCs w:val="22"/>
              </w:rPr>
              <w:t xml:space="preserve">   </w:t>
            </w:r>
          </w:p>
          <w:p w:rsidR="00C009EA" w:rsidRDefault="00C009EA" w:rsidP="00C009EA">
            <w:pPr>
              <w:rPr>
                <w:sz w:val="22"/>
                <w:szCs w:val="22"/>
              </w:rPr>
            </w:pPr>
          </w:p>
          <w:p w:rsidR="00C009EA" w:rsidRDefault="00C009EA" w:rsidP="00C009EA">
            <w:pPr>
              <w:rPr>
                <w:sz w:val="22"/>
                <w:szCs w:val="22"/>
              </w:rPr>
            </w:pPr>
            <w:r>
              <w:rPr>
                <w:sz w:val="22"/>
                <w:szCs w:val="22"/>
              </w:rPr>
              <w:t xml:space="preserve">Navigator&gt;Workforce Monitoring&gt;Meet Regulatory Requirements&gt;Regulatory Reports&gt;PRWORA </w:t>
            </w:r>
            <w:proofErr w:type="spellStart"/>
            <w:r>
              <w:rPr>
                <w:sz w:val="22"/>
                <w:szCs w:val="22"/>
              </w:rPr>
              <w:t>Newhire</w:t>
            </w:r>
            <w:proofErr w:type="spellEnd"/>
          </w:p>
          <w:p w:rsidR="00C009EA" w:rsidRDefault="00C009EA" w:rsidP="00AA571B">
            <w:pPr>
              <w:shd w:val="clear" w:color="auto" w:fill="FFFFFF"/>
              <w:rPr>
                <w:color w:val="222222"/>
                <w:sz w:val="22"/>
                <w:szCs w:val="22"/>
              </w:rPr>
            </w:pPr>
            <w:r>
              <w:rPr>
                <w:noProof/>
              </w:rPr>
              <w:drawing>
                <wp:inline distT="0" distB="0" distL="0" distR="0" wp14:anchorId="4FFF8D70" wp14:editId="19E1E33F">
                  <wp:extent cx="5234940" cy="14509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4940" cy="1450975"/>
                          </a:xfrm>
                          <a:prstGeom prst="rect">
                            <a:avLst/>
                          </a:prstGeom>
                        </pic:spPr>
                      </pic:pic>
                    </a:graphicData>
                  </a:graphic>
                </wp:inline>
              </w:drawing>
            </w:r>
          </w:p>
          <w:p w:rsidR="00C009EA" w:rsidRDefault="00E11592" w:rsidP="00AA571B">
            <w:pPr>
              <w:shd w:val="clear" w:color="auto" w:fill="FFFFFF"/>
              <w:rPr>
                <w:color w:val="222222"/>
                <w:sz w:val="22"/>
                <w:szCs w:val="22"/>
              </w:rPr>
            </w:pPr>
            <w:r>
              <w:rPr>
                <w:color w:val="222222"/>
                <w:sz w:val="22"/>
                <w:szCs w:val="22"/>
              </w:rPr>
              <w:t>The Process Scheduler Request box will open when you click Run.  Make sure the format is set to PDF and click Ok.</w:t>
            </w:r>
          </w:p>
          <w:p w:rsidR="00C009EA" w:rsidRPr="00EE5E09" w:rsidRDefault="00C009EA" w:rsidP="00AA571B">
            <w:pPr>
              <w:shd w:val="clear" w:color="auto" w:fill="FFFFFF"/>
              <w:rPr>
                <w:color w:val="222222"/>
                <w:sz w:val="22"/>
                <w:szCs w:val="22"/>
              </w:rPr>
            </w:pPr>
            <w:r>
              <w:rPr>
                <w:noProof/>
              </w:rPr>
              <w:drawing>
                <wp:inline distT="0" distB="0" distL="0" distR="0" wp14:anchorId="4F9D7581" wp14:editId="4D37B033">
                  <wp:extent cx="5234940" cy="566420"/>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34940" cy="566420"/>
                          </a:xfrm>
                          <a:prstGeom prst="rect">
                            <a:avLst/>
                          </a:prstGeom>
                        </pic:spPr>
                      </pic:pic>
                    </a:graphicData>
                  </a:graphic>
                </wp:inline>
              </w:drawing>
            </w:r>
          </w:p>
        </w:tc>
      </w:tr>
    </w:tbl>
    <w:p w:rsidR="002F7063" w:rsidRPr="00900846" w:rsidRDefault="002F7063" w:rsidP="002F7063">
      <w:pPr>
        <w:pStyle w:val="BlockLine"/>
        <w:ind w:left="1620"/>
        <w:rPr>
          <w:sz w:val="16"/>
          <w:szCs w:val="16"/>
        </w:rPr>
      </w:pPr>
    </w:p>
    <w:p w:rsidR="008E4970" w:rsidRPr="005C6211" w:rsidRDefault="002F7063" w:rsidP="008B018E">
      <w:pPr>
        <w:rPr>
          <w:b/>
          <w:sz w:val="28"/>
          <w:szCs w:val="28"/>
        </w:rPr>
      </w:pPr>
      <w:r w:rsidRPr="005C6211">
        <w:rPr>
          <w:b/>
          <w:sz w:val="28"/>
          <w:szCs w:val="28"/>
        </w:rPr>
        <w:t>SPO SharePoint Update</w:t>
      </w:r>
    </w:p>
    <w:p w:rsidR="00186D13" w:rsidRPr="008B018E" w:rsidRDefault="00186D13" w:rsidP="00186D13">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FD187D" w:rsidTr="00CA1614">
        <w:trPr>
          <w:cantSplit/>
        </w:trPr>
        <w:tc>
          <w:tcPr>
            <w:tcW w:w="1728" w:type="dxa"/>
          </w:tcPr>
          <w:p w:rsidR="00FD187D" w:rsidRPr="00EE5E09" w:rsidRDefault="00B13AB8" w:rsidP="00FD187D">
            <w:pPr>
              <w:pStyle w:val="Heading5"/>
              <w:rPr>
                <w:szCs w:val="22"/>
              </w:rPr>
            </w:pPr>
            <w:r>
              <w:rPr>
                <w:szCs w:val="22"/>
              </w:rPr>
              <w:t xml:space="preserve">SPO </w:t>
            </w:r>
            <w:proofErr w:type="spellStart"/>
            <w:r>
              <w:rPr>
                <w:szCs w:val="22"/>
              </w:rPr>
              <w:t>Sharepoint</w:t>
            </w:r>
            <w:proofErr w:type="spellEnd"/>
          </w:p>
        </w:tc>
        <w:tc>
          <w:tcPr>
            <w:tcW w:w="8460" w:type="dxa"/>
          </w:tcPr>
          <w:p w:rsidR="001D5647" w:rsidRDefault="001D5647" w:rsidP="001D5647">
            <w:pPr>
              <w:shd w:val="clear" w:color="auto" w:fill="FFFFFF"/>
              <w:rPr>
                <w:color w:val="222222"/>
                <w:sz w:val="22"/>
                <w:szCs w:val="22"/>
              </w:rPr>
            </w:pPr>
            <w:r>
              <w:rPr>
                <w:color w:val="222222"/>
                <w:sz w:val="22"/>
                <w:szCs w:val="22"/>
              </w:rPr>
              <w:t xml:space="preserve">SPO’s SharePoint has been revised and is now available for use.  Security for access requests previously submitted has been established and the old site will be disabled as of 8/12.  </w:t>
            </w:r>
            <w:r w:rsidRPr="007F5B28">
              <w:rPr>
                <w:b/>
                <w:color w:val="222222"/>
                <w:sz w:val="22"/>
                <w:szCs w:val="22"/>
              </w:rPr>
              <w:t>Please submit all documentation shared with SPO in the appropriate folder located with</w:t>
            </w:r>
            <w:r w:rsidR="003211DF" w:rsidRPr="007F5B28">
              <w:rPr>
                <w:b/>
                <w:color w:val="222222"/>
                <w:sz w:val="22"/>
                <w:szCs w:val="22"/>
              </w:rPr>
              <w:t>in</w:t>
            </w:r>
            <w:r w:rsidRPr="007F5B28">
              <w:rPr>
                <w:b/>
                <w:color w:val="222222"/>
                <w:sz w:val="22"/>
                <w:szCs w:val="22"/>
              </w:rPr>
              <w:t xml:space="preserve"> your agency’s library to ensure that the appropriate SPO staff is alerted. </w:t>
            </w:r>
            <w:r>
              <w:rPr>
                <w:color w:val="222222"/>
                <w:sz w:val="22"/>
                <w:szCs w:val="22"/>
              </w:rPr>
              <w:t xml:space="preserve"> All changes to access should be requested using the </w:t>
            </w:r>
            <w:r w:rsidR="0027418E">
              <w:rPr>
                <w:color w:val="222222"/>
                <w:sz w:val="22"/>
                <w:szCs w:val="22"/>
              </w:rPr>
              <w:t xml:space="preserve">SharePoint Security Authorization available in Miscellaneous Forms on the SPO website:  </w:t>
            </w:r>
            <w:hyperlink r:id="rId12" w:history="1">
              <w:r w:rsidR="0027418E" w:rsidRPr="00EA52A7">
                <w:rPr>
                  <w:rStyle w:val="Hyperlink"/>
                  <w:sz w:val="22"/>
                  <w:szCs w:val="22"/>
                </w:rPr>
                <w:t>www.doa.virginia.gov/forms/Payroll/SPO-SharePoint-Security-Authorization-Request.pdf</w:t>
              </w:r>
            </w:hyperlink>
          </w:p>
          <w:p w:rsidR="0027418E" w:rsidRDefault="0027418E" w:rsidP="001D5647">
            <w:pPr>
              <w:shd w:val="clear" w:color="auto" w:fill="FFFFFF"/>
              <w:rPr>
                <w:color w:val="222222"/>
                <w:sz w:val="22"/>
                <w:szCs w:val="22"/>
              </w:rPr>
            </w:pPr>
          </w:p>
          <w:p w:rsidR="0027418E" w:rsidRDefault="0027418E" w:rsidP="001D5647">
            <w:pPr>
              <w:shd w:val="clear" w:color="auto" w:fill="FFFFFF"/>
              <w:rPr>
                <w:color w:val="222222"/>
                <w:sz w:val="22"/>
                <w:szCs w:val="22"/>
              </w:rPr>
            </w:pPr>
            <w:r>
              <w:rPr>
                <w:color w:val="222222"/>
                <w:sz w:val="22"/>
                <w:szCs w:val="22"/>
              </w:rPr>
              <w:t xml:space="preserve">This is the link to the new version:  </w:t>
            </w:r>
          </w:p>
          <w:p w:rsidR="0027418E" w:rsidRDefault="0027418E" w:rsidP="001D5647">
            <w:pPr>
              <w:shd w:val="clear" w:color="auto" w:fill="FFFFFF"/>
              <w:rPr>
                <w:color w:val="1155CC"/>
                <w:sz w:val="22"/>
                <w:szCs w:val="22"/>
                <w:shd w:val="clear" w:color="auto" w:fill="FFFFFF"/>
              </w:rPr>
            </w:pPr>
            <w:r>
              <w:br/>
            </w:r>
            <w:r>
              <w:rPr>
                <w:color w:val="1155CC"/>
                <w:sz w:val="22"/>
                <w:szCs w:val="22"/>
                <w:shd w:val="clear" w:color="auto" w:fill="FFFFFF"/>
              </w:rPr>
              <w:t xml:space="preserve">                       </w:t>
            </w:r>
            <w:hyperlink r:id="rId13" w:history="1">
              <w:r w:rsidRPr="00EA52A7">
                <w:rPr>
                  <w:rStyle w:val="Hyperlink"/>
                  <w:sz w:val="22"/>
                  <w:szCs w:val="22"/>
                  <w:shd w:val="clear" w:color="auto" w:fill="FFFFFF"/>
                </w:rPr>
                <w:t>https://covgov.sharepoint.com/sites/DOA_SPO</w:t>
              </w:r>
            </w:hyperlink>
          </w:p>
          <w:p w:rsidR="0027418E" w:rsidRPr="0027418E" w:rsidRDefault="0027418E" w:rsidP="001D5647">
            <w:pPr>
              <w:shd w:val="clear" w:color="auto" w:fill="FFFFFF"/>
              <w:rPr>
                <w:color w:val="222222"/>
                <w:sz w:val="22"/>
                <w:szCs w:val="22"/>
              </w:rPr>
            </w:pPr>
          </w:p>
          <w:p w:rsidR="00FD187D" w:rsidRPr="00EE5E09" w:rsidRDefault="0027418E" w:rsidP="003211DF">
            <w:pPr>
              <w:shd w:val="clear" w:color="auto" w:fill="FFFFFF"/>
              <w:rPr>
                <w:color w:val="222222"/>
                <w:sz w:val="22"/>
                <w:szCs w:val="22"/>
              </w:rPr>
            </w:pPr>
            <w:r>
              <w:rPr>
                <w:color w:val="222222"/>
                <w:sz w:val="22"/>
                <w:szCs w:val="22"/>
              </w:rPr>
              <w:t>A reminder for “external” agencies – you must have a</w:t>
            </w:r>
            <w:r w:rsidR="003211DF">
              <w:rPr>
                <w:color w:val="222222"/>
                <w:sz w:val="22"/>
                <w:szCs w:val="22"/>
              </w:rPr>
              <w:t xml:space="preserve"> .virginia.gov </w:t>
            </w:r>
            <w:r>
              <w:rPr>
                <w:color w:val="222222"/>
                <w:sz w:val="22"/>
                <w:szCs w:val="22"/>
              </w:rPr>
              <w:t xml:space="preserve">email address before you can access.  Please send an email to </w:t>
            </w:r>
            <w:hyperlink r:id="rId14" w:history="1">
              <w:r w:rsidRPr="00EA52A7">
                <w:rPr>
                  <w:rStyle w:val="Hyperlink"/>
                  <w:sz w:val="22"/>
                  <w:szCs w:val="22"/>
                </w:rPr>
                <w:t>payroll@doa.virginia.gov</w:t>
              </w:r>
            </w:hyperlink>
            <w:r>
              <w:rPr>
                <w:color w:val="222222"/>
                <w:sz w:val="22"/>
                <w:szCs w:val="22"/>
              </w:rPr>
              <w:t xml:space="preserve"> i</w:t>
            </w:r>
            <w:r w:rsidR="003211DF">
              <w:rPr>
                <w:color w:val="222222"/>
                <w:sz w:val="22"/>
                <w:szCs w:val="22"/>
              </w:rPr>
              <w:t>f you do not already have an email address ending in Virginia.gov and need access to SPO SharePoint. Include both your actual and your alias email addresses on the security form.</w:t>
            </w:r>
            <w:r w:rsidR="001D5647">
              <w:rPr>
                <w:color w:val="222222"/>
                <w:sz w:val="22"/>
                <w:szCs w:val="22"/>
              </w:rPr>
              <w:t xml:space="preserve"> </w:t>
            </w:r>
          </w:p>
        </w:tc>
      </w:tr>
    </w:tbl>
    <w:p w:rsidR="00666FEE" w:rsidRPr="00887AAA" w:rsidRDefault="00887AAA" w:rsidP="00887AAA">
      <w:pPr>
        <w:pStyle w:val="BlockLine"/>
        <w:ind w:left="1620"/>
        <w:jc w:val="right"/>
        <w:rPr>
          <w:i/>
          <w:sz w:val="20"/>
        </w:rPr>
      </w:pPr>
      <w:r>
        <w:rPr>
          <w:i/>
          <w:sz w:val="20"/>
        </w:rPr>
        <w:t>Continued on the next page</w:t>
      </w:r>
    </w:p>
    <w:p w:rsidR="00907BA9" w:rsidRDefault="00907BA9">
      <w:pPr>
        <w:rPr>
          <w:b/>
          <w:sz w:val="28"/>
          <w:szCs w:val="28"/>
        </w:rPr>
      </w:pPr>
    </w:p>
    <w:sectPr w:rsidR="00907BA9" w:rsidSect="00D908DF">
      <w:headerReference w:type="default" r:id="rId15"/>
      <w:footerReference w:type="default" r:id="rId16"/>
      <w:pgSz w:w="12240" w:h="15840" w:code="1"/>
      <w:pgMar w:top="720" w:right="1152" w:bottom="90" w:left="1152" w:header="28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8F" w:rsidRDefault="00C05D8F">
      <w:r>
        <w:separator/>
      </w:r>
    </w:p>
  </w:endnote>
  <w:endnote w:type="continuationSeparator" w:id="0">
    <w:p w:rsidR="00C05D8F" w:rsidRDefault="00C0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14" w:rsidRPr="00D908DF" w:rsidRDefault="00CA1614" w:rsidP="00C57D24">
    <w:pPr>
      <w:pStyle w:val="Footer"/>
      <w:pBdr>
        <w:top w:val="single" w:sz="6" w:space="0" w:color="auto"/>
      </w:pBdr>
      <w:tabs>
        <w:tab w:val="clear" w:pos="4320"/>
        <w:tab w:val="clear" w:pos="8640"/>
        <w:tab w:val="left" w:pos="5940"/>
      </w:tabs>
      <w:ind w:right="-414"/>
      <w:jc w:val="center"/>
      <w:rPr>
        <w:rStyle w:val="PageNumber"/>
        <w:snapToGrid w:val="0"/>
        <w:sz w:val="18"/>
        <w:szCs w:val="18"/>
      </w:rPr>
    </w:pPr>
    <w:r w:rsidRPr="00D908DF">
      <w:rPr>
        <w:rStyle w:val="PageNumber"/>
        <w:snapToGrid w:val="0"/>
        <w:sz w:val="18"/>
        <w:szCs w:val="18"/>
      </w:rPr>
      <w:t xml:space="preserve">Page </w:t>
    </w:r>
    <w:r w:rsidR="005964A7" w:rsidRPr="00D908DF">
      <w:rPr>
        <w:rStyle w:val="PageNumber"/>
        <w:sz w:val="18"/>
        <w:szCs w:val="18"/>
      </w:rPr>
      <w:fldChar w:fldCharType="begin"/>
    </w:r>
    <w:r w:rsidRPr="00D908DF">
      <w:rPr>
        <w:rStyle w:val="PageNumber"/>
        <w:sz w:val="18"/>
        <w:szCs w:val="18"/>
      </w:rPr>
      <w:instrText xml:space="preserve"> PAGE </w:instrText>
    </w:r>
    <w:r w:rsidR="005964A7" w:rsidRPr="00D908DF">
      <w:rPr>
        <w:rStyle w:val="PageNumber"/>
        <w:sz w:val="18"/>
        <w:szCs w:val="18"/>
      </w:rPr>
      <w:fldChar w:fldCharType="separate"/>
    </w:r>
    <w:r w:rsidR="006C39A4">
      <w:rPr>
        <w:rStyle w:val="PageNumber"/>
        <w:noProof/>
        <w:sz w:val="18"/>
        <w:szCs w:val="18"/>
      </w:rPr>
      <w:t>3</w:t>
    </w:r>
    <w:r w:rsidR="005964A7" w:rsidRPr="00D908DF">
      <w:rPr>
        <w:rStyle w:val="PageNumber"/>
        <w:sz w:val="18"/>
        <w:szCs w:val="18"/>
      </w:rPr>
      <w:fldChar w:fldCharType="end"/>
    </w:r>
    <w:r w:rsidRPr="00D908DF">
      <w:rPr>
        <w:rStyle w:val="PageNumber"/>
        <w:snapToGrid w:val="0"/>
        <w:sz w:val="18"/>
        <w:szCs w:val="18"/>
      </w:rPr>
      <w:t xml:space="preserve"> of </w:t>
    </w:r>
    <w:r w:rsidR="005964A7" w:rsidRPr="00D908DF">
      <w:rPr>
        <w:rStyle w:val="PageNumber"/>
        <w:sz w:val="18"/>
        <w:szCs w:val="18"/>
      </w:rPr>
      <w:fldChar w:fldCharType="begin"/>
    </w:r>
    <w:r w:rsidRPr="00D908DF">
      <w:rPr>
        <w:rStyle w:val="PageNumber"/>
        <w:sz w:val="18"/>
        <w:szCs w:val="18"/>
      </w:rPr>
      <w:instrText xml:space="preserve"> NUMPAGES </w:instrText>
    </w:r>
    <w:r w:rsidR="005964A7" w:rsidRPr="00D908DF">
      <w:rPr>
        <w:rStyle w:val="PageNumber"/>
        <w:sz w:val="18"/>
        <w:szCs w:val="18"/>
      </w:rPr>
      <w:fldChar w:fldCharType="separate"/>
    </w:r>
    <w:r w:rsidR="006C39A4">
      <w:rPr>
        <w:rStyle w:val="PageNumber"/>
        <w:noProof/>
        <w:sz w:val="18"/>
        <w:szCs w:val="18"/>
      </w:rPr>
      <w:t>3</w:t>
    </w:r>
    <w:r w:rsidR="005964A7" w:rsidRPr="00D908DF">
      <w:rPr>
        <w:rStyle w:val="PageNumber"/>
        <w:sz w:val="18"/>
        <w:szCs w:val="18"/>
      </w:rPr>
      <w:fldChar w:fldCharType="end"/>
    </w:r>
  </w:p>
  <w:p w:rsidR="00CA1614" w:rsidRPr="00D908DF" w:rsidRDefault="006C39A4" w:rsidP="00C57D24">
    <w:pPr>
      <w:pStyle w:val="NormalWeb"/>
      <w:jc w:val="center"/>
      <w:rPr>
        <w:rFonts w:ascii="Times New Roman" w:hAnsi="Times New Roman"/>
        <w:i/>
        <w:snapToGrid w:val="0"/>
      </w:rPr>
    </w:pPr>
    <w:hyperlink r:id="rId1" w:tooltip="http://www.doa.virginia.gov/Payroll/Payroll_Bulletins/Payroll_Bulletins_Main.cfm" w:history="1">
      <w:r w:rsidR="00CA1614" w:rsidRPr="00D908DF">
        <w:rPr>
          <w:rStyle w:val="Hyperlink"/>
          <w:rFonts w:ascii="Times New Roman" w:hAnsi="Times New Roman"/>
          <w:i/>
          <w:iCs/>
          <w:snapToGrid w:val="0"/>
          <w:color w:val="auto"/>
        </w:rPr>
        <w:t>http://www.doa.virginia.gov/Payroll/Payroll_Bulletins/Payroll_Bulletins_Main.cfm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8F" w:rsidRDefault="00C05D8F">
      <w:r>
        <w:separator/>
      </w:r>
    </w:p>
  </w:footnote>
  <w:footnote w:type="continuationSeparator" w:id="0">
    <w:p w:rsidR="00C05D8F" w:rsidRDefault="00C0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14" w:rsidRDefault="00CA1614" w:rsidP="00BD40FD">
    <w:pPr>
      <w:pStyle w:val="Header"/>
      <w:rPr>
        <w:sz w:val="16"/>
      </w:rPr>
    </w:pPr>
  </w:p>
  <w:tbl>
    <w:tblPr>
      <w:tblW w:w="10188" w:type="dxa"/>
      <w:tblLayout w:type="fixed"/>
      <w:tblLook w:val="0000" w:firstRow="0" w:lastRow="0" w:firstColumn="0" w:lastColumn="0" w:noHBand="0" w:noVBand="0"/>
    </w:tblPr>
    <w:tblGrid>
      <w:gridCol w:w="3366"/>
      <w:gridCol w:w="3366"/>
      <w:gridCol w:w="3456"/>
    </w:tblGrid>
    <w:tr w:rsidR="00CA1614" w:rsidTr="00A97993">
      <w:trPr>
        <w:cantSplit/>
      </w:trPr>
      <w:tc>
        <w:tcPr>
          <w:tcW w:w="3366" w:type="dxa"/>
          <w:tcBorders>
            <w:bottom w:val="double" w:sz="6" w:space="0" w:color="auto"/>
          </w:tcBorders>
        </w:tcPr>
        <w:p w:rsidR="00CA1614" w:rsidRDefault="00CA1614" w:rsidP="00276F66">
          <w:pPr>
            <w:pStyle w:val="Header"/>
            <w:rPr>
              <w:b/>
              <w:sz w:val="20"/>
            </w:rPr>
          </w:pPr>
          <w:r>
            <w:rPr>
              <w:b/>
              <w:sz w:val="20"/>
            </w:rPr>
            <w:t xml:space="preserve">Calendar Year </w:t>
          </w:r>
          <w:r w:rsidR="00CB1857">
            <w:rPr>
              <w:b/>
              <w:sz w:val="20"/>
            </w:rPr>
            <w:t>202</w:t>
          </w:r>
          <w:r w:rsidR="00276F66">
            <w:rPr>
              <w:b/>
              <w:sz w:val="20"/>
            </w:rPr>
            <w:t>2</w:t>
          </w:r>
        </w:p>
      </w:tc>
      <w:tc>
        <w:tcPr>
          <w:tcW w:w="3366" w:type="dxa"/>
          <w:tcBorders>
            <w:bottom w:val="double" w:sz="6" w:space="0" w:color="auto"/>
          </w:tcBorders>
        </w:tcPr>
        <w:p w:rsidR="00CA1614" w:rsidRDefault="00E062A0" w:rsidP="008228D8">
          <w:pPr>
            <w:pStyle w:val="Header"/>
            <w:jc w:val="center"/>
            <w:rPr>
              <w:b/>
              <w:sz w:val="20"/>
            </w:rPr>
          </w:pPr>
          <w:r>
            <w:rPr>
              <w:b/>
              <w:sz w:val="20"/>
            </w:rPr>
            <w:t>Ju</w:t>
          </w:r>
          <w:r w:rsidR="00276F66">
            <w:rPr>
              <w:b/>
              <w:sz w:val="20"/>
            </w:rPr>
            <w:t>ly</w:t>
          </w:r>
          <w:r>
            <w:rPr>
              <w:b/>
              <w:sz w:val="20"/>
            </w:rPr>
            <w:t xml:space="preserve"> </w:t>
          </w:r>
          <w:r w:rsidR="008B76F0">
            <w:rPr>
              <w:b/>
              <w:sz w:val="20"/>
            </w:rPr>
            <w:t>1</w:t>
          </w:r>
          <w:r w:rsidR="008228D8">
            <w:rPr>
              <w:b/>
              <w:sz w:val="20"/>
            </w:rPr>
            <w:t>3</w:t>
          </w:r>
          <w:r>
            <w:rPr>
              <w:b/>
              <w:sz w:val="20"/>
            </w:rPr>
            <w:t xml:space="preserve">, </w:t>
          </w:r>
          <w:r w:rsidR="00CB1857">
            <w:rPr>
              <w:b/>
              <w:sz w:val="20"/>
            </w:rPr>
            <w:t>202</w:t>
          </w:r>
          <w:r w:rsidR="00276F66">
            <w:rPr>
              <w:b/>
              <w:sz w:val="20"/>
            </w:rPr>
            <w:t>2</w:t>
          </w:r>
        </w:p>
      </w:tc>
      <w:tc>
        <w:tcPr>
          <w:tcW w:w="3456" w:type="dxa"/>
          <w:tcBorders>
            <w:bottom w:val="double" w:sz="6" w:space="0" w:color="auto"/>
          </w:tcBorders>
        </w:tcPr>
        <w:p w:rsidR="00CA1614" w:rsidRDefault="00CA1614" w:rsidP="009E4069">
          <w:pPr>
            <w:pStyle w:val="Header"/>
            <w:jc w:val="right"/>
            <w:rPr>
              <w:b/>
              <w:sz w:val="20"/>
            </w:rPr>
          </w:pPr>
          <w:r>
            <w:rPr>
              <w:b/>
              <w:sz w:val="20"/>
            </w:rPr>
            <w:t xml:space="preserve">Volume </w:t>
          </w:r>
          <w:r w:rsidR="00CB1857">
            <w:rPr>
              <w:b/>
              <w:sz w:val="20"/>
            </w:rPr>
            <w:t>202</w:t>
          </w:r>
          <w:r w:rsidR="00276F66">
            <w:rPr>
              <w:b/>
              <w:sz w:val="20"/>
            </w:rPr>
            <w:t>2</w:t>
          </w:r>
          <w:r>
            <w:rPr>
              <w:b/>
              <w:sz w:val="20"/>
            </w:rPr>
            <w:t>-0</w:t>
          </w:r>
          <w:r w:rsidR="009E4069">
            <w:rPr>
              <w:b/>
              <w:sz w:val="20"/>
            </w:rPr>
            <w:t>9</w:t>
          </w:r>
        </w:p>
      </w:tc>
    </w:tr>
  </w:tbl>
  <w:p w:rsidR="00CA1614" w:rsidRDefault="00CA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D33597"/>
    <w:multiLevelType w:val="hybridMultilevel"/>
    <w:tmpl w:val="2A3C87A6"/>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2"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4322CE"/>
    <w:multiLevelType w:val="hybridMultilevel"/>
    <w:tmpl w:val="C19E7E32"/>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96C5E61"/>
    <w:multiLevelType w:val="hybridMultilevel"/>
    <w:tmpl w:val="FD3C9830"/>
    <w:lvl w:ilvl="0" w:tplc="BE7E6D80">
      <w:start w:val="1"/>
      <w:numFmt w:val="bullet"/>
      <w:lvlText w:val=""/>
      <w:lvlJc w:val="left"/>
      <w:pPr>
        <w:tabs>
          <w:tab w:val="num" w:pos="1092"/>
        </w:tabs>
        <w:ind w:left="1092" w:hanging="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054856"/>
    <w:multiLevelType w:val="hybridMultilevel"/>
    <w:tmpl w:val="7EFE6ED6"/>
    <w:lvl w:ilvl="0" w:tplc="A27C129E">
      <w:start w:val="2022"/>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C5B1CEB"/>
    <w:multiLevelType w:val="hybridMultilevel"/>
    <w:tmpl w:val="507E4592"/>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8"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abstractNum w:abstractNumId="9" w15:restartNumberingAfterBreak="0">
    <w:nsid w:val="7F5839DA"/>
    <w:multiLevelType w:val="hybridMultilevel"/>
    <w:tmpl w:val="34EC9B40"/>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2"/>
  </w:num>
  <w:num w:numId="6">
    <w:abstractNumId w:val="5"/>
  </w:num>
  <w:num w:numId="7">
    <w:abstractNumId w:val="6"/>
  </w:num>
  <w:num w:numId="8">
    <w:abstractNumId w:val="9"/>
  </w:num>
  <w:num w:numId="9">
    <w:abstractNumId w:val="7"/>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8"/>
    <w:rsid w:val="00004BB0"/>
    <w:rsid w:val="00012A00"/>
    <w:rsid w:val="00014DB8"/>
    <w:rsid w:val="000209CA"/>
    <w:rsid w:val="000229A0"/>
    <w:rsid w:val="00043BD6"/>
    <w:rsid w:val="00054804"/>
    <w:rsid w:val="000548D8"/>
    <w:rsid w:val="0005707C"/>
    <w:rsid w:val="000624FE"/>
    <w:rsid w:val="00070795"/>
    <w:rsid w:val="0007530F"/>
    <w:rsid w:val="00082E11"/>
    <w:rsid w:val="000938AD"/>
    <w:rsid w:val="00096BDC"/>
    <w:rsid w:val="000A3E0D"/>
    <w:rsid w:val="000B28B1"/>
    <w:rsid w:val="000C68B5"/>
    <w:rsid w:val="000D0C78"/>
    <w:rsid w:val="000D74B2"/>
    <w:rsid w:val="000E78C4"/>
    <w:rsid w:val="000F46A6"/>
    <w:rsid w:val="0010004E"/>
    <w:rsid w:val="00120A22"/>
    <w:rsid w:val="00121F17"/>
    <w:rsid w:val="00142D4F"/>
    <w:rsid w:val="001455A7"/>
    <w:rsid w:val="00145C24"/>
    <w:rsid w:val="00145CE4"/>
    <w:rsid w:val="00151C52"/>
    <w:rsid w:val="0016040B"/>
    <w:rsid w:val="001606F6"/>
    <w:rsid w:val="0017568D"/>
    <w:rsid w:val="001834DC"/>
    <w:rsid w:val="001855DF"/>
    <w:rsid w:val="00186D13"/>
    <w:rsid w:val="001908BF"/>
    <w:rsid w:val="00192D99"/>
    <w:rsid w:val="00196E82"/>
    <w:rsid w:val="001A76D1"/>
    <w:rsid w:val="001A7CC7"/>
    <w:rsid w:val="001D5647"/>
    <w:rsid w:val="001D79E3"/>
    <w:rsid w:val="001E07BF"/>
    <w:rsid w:val="001E2A32"/>
    <w:rsid w:val="001E3CD4"/>
    <w:rsid w:val="001E48DF"/>
    <w:rsid w:val="002004BF"/>
    <w:rsid w:val="00201AC5"/>
    <w:rsid w:val="002066C6"/>
    <w:rsid w:val="0021369D"/>
    <w:rsid w:val="002145D4"/>
    <w:rsid w:val="00224F21"/>
    <w:rsid w:val="0022524D"/>
    <w:rsid w:val="00226EB6"/>
    <w:rsid w:val="00236ED6"/>
    <w:rsid w:val="002431D0"/>
    <w:rsid w:val="0024614F"/>
    <w:rsid w:val="002544F2"/>
    <w:rsid w:val="002556AC"/>
    <w:rsid w:val="00267884"/>
    <w:rsid w:val="0027418E"/>
    <w:rsid w:val="0027465D"/>
    <w:rsid w:val="00276F66"/>
    <w:rsid w:val="00282B95"/>
    <w:rsid w:val="00282CD8"/>
    <w:rsid w:val="00284B3E"/>
    <w:rsid w:val="00294BD1"/>
    <w:rsid w:val="002A523D"/>
    <w:rsid w:val="002B566E"/>
    <w:rsid w:val="002B6B60"/>
    <w:rsid w:val="002C051D"/>
    <w:rsid w:val="002C217F"/>
    <w:rsid w:val="002C3142"/>
    <w:rsid w:val="002C679F"/>
    <w:rsid w:val="002D27FC"/>
    <w:rsid w:val="002F09D7"/>
    <w:rsid w:val="002F6315"/>
    <w:rsid w:val="002F7063"/>
    <w:rsid w:val="00304AD9"/>
    <w:rsid w:val="0030589E"/>
    <w:rsid w:val="00307DE8"/>
    <w:rsid w:val="00310568"/>
    <w:rsid w:val="003211DF"/>
    <w:rsid w:val="00321667"/>
    <w:rsid w:val="00333FFF"/>
    <w:rsid w:val="003428B4"/>
    <w:rsid w:val="00357B76"/>
    <w:rsid w:val="0036127F"/>
    <w:rsid w:val="00363289"/>
    <w:rsid w:val="00374978"/>
    <w:rsid w:val="003857CD"/>
    <w:rsid w:val="003A1E02"/>
    <w:rsid w:val="003B09C4"/>
    <w:rsid w:val="003B0EC9"/>
    <w:rsid w:val="003B27B7"/>
    <w:rsid w:val="003B2B96"/>
    <w:rsid w:val="003B54DA"/>
    <w:rsid w:val="003C2DBC"/>
    <w:rsid w:val="003D27B3"/>
    <w:rsid w:val="003D6CB6"/>
    <w:rsid w:val="003E210F"/>
    <w:rsid w:val="003E3ABB"/>
    <w:rsid w:val="003E5F66"/>
    <w:rsid w:val="003E6672"/>
    <w:rsid w:val="003F56A1"/>
    <w:rsid w:val="004029E1"/>
    <w:rsid w:val="00402E35"/>
    <w:rsid w:val="00405795"/>
    <w:rsid w:val="004072E7"/>
    <w:rsid w:val="0041061D"/>
    <w:rsid w:val="00411394"/>
    <w:rsid w:val="0041326B"/>
    <w:rsid w:val="00415768"/>
    <w:rsid w:val="00422C2E"/>
    <w:rsid w:val="00443137"/>
    <w:rsid w:val="004454CA"/>
    <w:rsid w:val="00467F3A"/>
    <w:rsid w:val="00484094"/>
    <w:rsid w:val="004A11AF"/>
    <w:rsid w:val="004A18BA"/>
    <w:rsid w:val="004A1959"/>
    <w:rsid w:val="004A600E"/>
    <w:rsid w:val="004B2EDB"/>
    <w:rsid w:val="004B400A"/>
    <w:rsid w:val="004D023C"/>
    <w:rsid w:val="004F1DA8"/>
    <w:rsid w:val="004F5173"/>
    <w:rsid w:val="005059D8"/>
    <w:rsid w:val="00511428"/>
    <w:rsid w:val="0052470A"/>
    <w:rsid w:val="00545EED"/>
    <w:rsid w:val="005464B5"/>
    <w:rsid w:val="0056085F"/>
    <w:rsid w:val="00562AD7"/>
    <w:rsid w:val="005668A2"/>
    <w:rsid w:val="00573015"/>
    <w:rsid w:val="00574539"/>
    <w:rsid w:val="005759A7"/>
    <w:rsid w:val="00580FA8"/>
    <w:rsid w:val="00586656"/>
    <w:rsid w:val="005914E1"/>
    <w:rsid w:val="00595482"/>
    <w:rsid w:val="005964A7"/>
    <w:rsid w:val="005A2EF4"/>
    <w:rsid w:val="005A7200"/>
    <w:rsid w:val="005B02B3"/>
    <w:rsid w:val="005B079D"/>
    <w:rsid w:val="005B3E5E"/>
    <w:rsid w:val="005B7490"/>
    <w:rsid w:val="005C1612"/>
    <w:rsid w:val="005C6178"/>
    <w:rsid w:val="005C6211"/>
    <w:rsid w:val="005D49E7"/>
    <w:rsid w:val="005F0ADA"/>
    <w:rsid w:val="005F11CB"/>
    <w:rsid w:val="005F1B4E"/>
    <w:rsid w:val="005F5734"/>
    <w:rsid w:val="006015AA"/>
    <w:rsid w:val="00604F07"/>
    <w:rsid w:val="00605949"/>
    <w:rsid w:val="00607426"/>
    <w:rsid w:val="0061087F"/>
    <w:rsid w:val="00615CC4"/>
    <w:rsid w:val="006243D3"/>
    <w:rsid w:val="00625AD5"/>
    <w:rsid w:val="006376CF"/>
    <w:rsid w:val="00641837"/>
    <w:rsid w:val="00663266"/>
    <w:rsid w:val="00664170"/>
    <w:rsid w:val="00666FEE"/>
    <w:rsid w:val="0067449B"/>
    <w:rsid w:val="00690402"/>
    <w:rsid w:val="006942AD"/>
    <w:rsid w:val="00696D82"/>
    <w:rsid w:val="006A11B7"/>
    <w:rsid w:val="006A4DFF"/>
    <w:rsid w:val="006B0987"/>
    <w:rsid w:val="006B0D00"/>
    <w:rsid w:val="006C1C76"/>
    <w:rsid w:val="006C39A4"/>
    <w:rsid w:val="006C3D85"/>
    <w:rsid w:val="006D4792"/>
    <w:rsid w:val="006E1019"/>
    <w:rsid w:val="006E39C8"/>
    <w:rsid w:val="006F21CF"/>
    <w:rsid w:val="006F71BA"/>
    <w:rsid w:val="006F72CA"/>
    <w:rsid w:val="00700615"/>
    <w:rsid w:val="00703D09"/>
    <w:rsid w:val="00713C0F"/>
    <w:rsid w:val="00714FE1"/>
    <w:rsid w:val="007161BC"/>
    <w:rsid w:val="007174A5"/>
    <w:rsid w:val="00733BAD"/>
    <w:rsid w:val="007410A9"/>
    <w:rsid w:val="00763A54"/>
    <w:rsid w:val="00767085"/>
    <w:rsid w:val="007750D1"/>
    <w:rsid w:val="00791463"/>
    <w:rsid w:val="0079507B"/>
    <w:rsid w:val="00795E38"/>
    <w:rsid w:val="007A1CB6"/>
    <w:rsid w:val="007A39C2"/>
    <w:rsid w:val="007A45E6"/>
    <w:rsid w:val="007A6CA6"/>
    <w:rsid w:val="007B0A26"/>
    <w:rsid w:val="007B0F71"/>
    <w:rsid w:val="007B5E26"/>
    <w:rsid w:val="007C13DE"/>
    <w:rsid w:val="007C4D8A"/>
    <w:rsid w:val="007D253D"/>
    <w:rsid w:val="007D58FF"/>
    <w:rsid w:val="007E70AD"/>
    <w:rsid w:val="007F5B28"/>
    <w:rsid w:val="00801B20"/>
    <w:rsid w:val="00813465"/>
    <w:rsid w:val="00813664"/>
    <w:rsid w:val="008228D8"/>
    <w:rsid w:val="00832A6E"/>
    <w:rsid w:val="008352BB"/>
    <w:rsid w:val="00847524"/>
    <w:rsid w:val="008578F5"/>
    <w:rsid w:val="008601F2"/>
    <w:rsid w:val="008605E3"/>
    <w:rsid w:val="00866D8C"/>
    <w:rsid w:val="008869DA"/>
    <w:rsid w:val="00887AAA"/>
    <w:rsid w:val="00890110"/>
    <w:rsid w:val="008A0C0D"/>
    <w:rsid w:val="008A1F54"/>
    <w:rsid w:val="008A2CC1"/>
    <w:rsid w:val="008B018E"/>
    <w:rsid w:val="008B76F0"/>
    <w:rsid w:val="008C46BD"/>
    <w:rsid w:val="008C532E"/>
    <w:rsid w:val="008D08E6"/>
    <w:rsid w:val="008D453C"/>
    <w:rsid w:val="008E4970"/>
    <w:rsid w:val="008E4B21"/>
    <w:rsid w:val="008E75C6"/>
    <w:rsid w:val="008E79A4"/>
    <w:rsid w:val="008F0883"/>
    <w:rsid w:val="008F7BB9"/>
    <w:rsid w:val="008F7C92"/>
    <w:rsid w:val="00900846"/>
    <w:rsid w:val="00905374"/>
    <w:rsid w:val="00906909"/>
    <w:rsid w:val="00907BA9"/>
    <w:rsid w:val="00907D28"/>
    <w:rsid w:val="009170A0"/>
    <w:rsid w:val="00923A80"/>
    <w:rsid w:val="00926D59"/>
    <w:rsid w:val="009324ED"/>
    <w:rsid w:val="009446A6"/>
    <w:rsid w:val="00946683"/>
    <w:rsid w:val="00952C2D"/>
    <w:rsid w:val="0097229C"/>
    <w:rsid w:val="009757B2"/>
    <w:rsid w:val="009825D3"/>
    <w:rsid w:val="0099065A"/>
    <w:rsid w:val="00993D57"/>
    <w:rsid w:val="00996E78"/>
    <w:rsid w:val="009A1992"/>
    <w:rsid w:val="009A1BC5"/>
    <w:rsid w:val="009A1ED1"/>
    <w:rsid w:val="009A5B7F"/>
    <w:rsid w:val="009B12EC"/>
    <w:rsid w:val="009D4E40"/>
    <w:rsid w:val="009D605A"/>
    <w:rsid w:val="009E4069"/>
    <w:rsid w:val="009E5B20"/>
    <w:rsid w:val="009E62D7"/>
    <w:rsid w:val="009E6831"/>
    <w:rsid w:val="009F1038"/>
    <w:rsid w:val="009F7CC0"/>
    <w:rsid w:val="00A035A9"/>
    <w:rsid w:val="00A072AC"/>
    <w:rsid w:val="00A166BA"/>
    <w:rsid w:val="00A25262"/>
    <w:rsid w:val="00A302AF"/>
    <w:rsid w:val="00A33753"/>
    <w:rsid w:val="00A3416F"/>
    <w:rsid w:val="00A3637D"/>
    <w:rsid w:val="00A50814"/>
    <w:rsid w:val="00A51427"/>
    <w:rsid w:val="00A62F12"/>
    <w:rsid w:val="00A652B4"/>
    <w:rsid w:val="00A76438"/>
    <w:rsid w:val="00A7780F"/>
    <w:rsid w:val="00A8048D"/>
    <w:rsid w:val="00A9101F"/>
    <w:rsid w:val="00A92C66"/>
    <w:rsid w:val="00A94B4A"/>
    <w:rsid w:val="00A97993"/>
    <w:rsid w:val="00AA24CF"/>
    <w:rsid w:val="00AB148F"/>
    <w:rsid w:val="00AC21E2"/>
    <w:rsid w:val="00AC2383"/>
    <w:rsid w:val="00AD06ED"/>
    <w:rsid w:val="00AD1D8A"/>
    <w:rsid w:val="00AD453C"/>
    <w:rsid w:val="00AD77F3"/>
    <w:rsid w:val="00AE05F0"/>
    <w:rsid w:val="00AE0AA4"/>
    <w:rsid w:val="00AE4277"/>
    <w:rsid w:val="00B00670"/>
    <w:rsid w:val="00B027AD"/>
    <w:rsid w:val="00B13AB8"/>
    <w:rsid w:val="00B1476F"/>
    <w:rsid w:val="00B15C03"/>
    <w:rsid w:val="00B3001A"/>
    <w:rsid w:val="00B32AE2"/>
    <w:rsid w:val="00B377F5"/>
    <w:rsid w:val="00B37C23"/>
    <w:rsid w:val="00B40842"/>
    <w:rsid w:val="00B437F3"/>
    <w:rsid w:val="00B532BA"/>
    <w:rsid w:val="00B56B84"/>
    <w:rsid w:val="00B56C4E"/>
    <w:rsid w:val="00B84CB0"/>
    <w:rsid w:val="00B87D23"/>
    <w:rsid w:val="00B93547"/>
    <w:rsid w:val="00BA0A2C"/>
    <w:rsid w:val="00BA2F1B"/>
    <w:rsid w:val="00BA60BC"/>
    <w:rsid w:val="00BA66C6"/>
    <w:rsid w:val="00BB1E81"/>
    <w:rsid w:val="00BC7496"/>
    <w:rsid w:val="00BD40FD"/>
    <w:rsid w:val="00BD7636"/>
    <w:rsid w:val="00BD79A3"/>
    <w:rsid w:val="00BE7D88"/>
    <w:rsid w:val="00BF068C"/>
    <w:rsid w:val="00BF3FCC"/>
    <w:rsid w:val="00C009EA"/>
    <w:rsid w:val="00C05D8F"/>
    <w:rsid w:val="00C11B29"/>
    <w:rsid w:val="00C12718"/>
    <w:rsid w:val="00C238E2"/>
    <w:rsid w:val="00C2408E"/>
    <w:rsid w:val="00C278C3"/>
    <w:rsid w:val="00C3692E"/>
    <w:rsid w:val="00C452D1"/>
    <w:rsid w:val="00C45485"/>
    <w:rsid w:val="00C50ADB"/>
    <w:rsid w:val="00C511B8"/>
    <w:rsid w:val="00C520C1"/>
    <w:rsid w:val="00C5471B"/>
    <w:rsid w:val="00C54930"/>
    <w:rsid w:val="00C55E26"/>
    <w:rsid w:val="00C57D24"/>
    <w:rsid w:val="00C6337F"/>
    <w:rsid w:val="00C63DA8"/>
    <w:rsid w:val="00C64B98"/>
    <w:rsid w:val="00C74456"/>
    <w:rsid w:val="00C753A7"/>
    <w:rsid w:val="00C77BA6"/>
    <w:rsid w:val="00CA02E2"/>
    <w:rsid w:val="00CA1614"/>
    <w:rsid w:val="00CA546D"/>
    <w:rsid w:val="00CB0FD2"/>
    <w:rsid w:val="00CB1857"/>
    <w:rsid w:val="00CC3EF5"/>
    <w:rsid w:val="00CD3254"/>
    <w:rsid w:val="00CD4B3F"/>
    <w:rsid w:val="00CE18D8"/>
    <w:rsid w:val="00CE2BF4"/>
    <w:rsid w:val="00CE5E54"/>
    <w:rsid w:val="00CF4479"/>
    <w:rsid w:val="00CF5444"/>
    <w:rsid w:val="00D0772A"/>
    <w:rsid w:val="00D16D84"/>
    <w:rsid w:val="00D2043C"/>
    <w:rsid w:val="00D23F49"/>
    <w:rsid w:val="00D24E49"/>
    <w:rsid w:val="00D26CA0"/>
    <w:rsid w:val="00D32175"/>
    <w:rsid w:val="00D35005"/>
    <w:rsid w:val="00D355DD"/>
    <w:rsid w:val="00D360B5"/>
    <w:rsid w:val="00D36665"/>
    <w:rsid w:val="00D46EA3"/>
    <w:rsid w:val="00D548AF"/>
    <w:rsid w:val="00D7413B"/>
    <w:rsid w:val="00D76406"/>
    <w:rsid w:val="00D814ED"/>
    <w:rsid w:val="00D908DF"/>
    <w:rsid w:val="00D91CF8"/>
    <w:rsid w:val="00D93B92"/>
    <w:rsid w:val="00D96E2A"/>
    <w:rsid w:val="00DA1375"/>
    <w:rsid w:val="00DB218B"/>
    <w:rsid w:val="00DB22C8"/>
    <w:rsid w:val="00DB4DE8"/>
    <w:rsid w:val="00DC01C0"/>
    <w:rsid w:val="00DC0737"/>
    <w:rsid w:val="00DD1147"/>
    <w:rsid w:val="00DD1A6E"/>
    <w:rsid w:val="00DE0E60"/>
    <w:rsid w:val="00DF4DE7"/>
    <w:rsid w:val="00E02938"/>
    <w:rsid w:val="00E03297"/>
    <w:rsid w:val="00E062A0"/>
    <w:rsid w:val="00E063C8"/>
    <w:rsid w:val="00E11592"/>
    <w:rsid w:val="00E122B7"/>
    <w:rsid w:val="00E240DA"/>
    <w:rsid w:val="00E278AD"/>
    <w:rsid w:val="00E3336E"/>
    <w:rsid w:val="00E46605"/>
    <w:rsid w:val="00E528D8"/>
    <w:rsid w:val="00E563C9"/>
    <w:rsid w:val="00E64B6B"/>
    <w:rsid w:val="00E70344"/>
    <w:rsid w:val="00E72348"/>
    <w:rsid w:val="00E8444C"/>
    <w:rsid w:val="00E846A7"/>
    <w:rsid w:val="00E87A3D"/>
    <w:rsid w:val="00E91F74"/>
    <w:rsid w:val="00EA67F0"/>
    <w:rsid w:val="00EB773E"/>
    <w:rsid w:val="00EC46ED"/>
    <w:rsid w:val="00ED7A73"/>
    <w:rsid w:val="00EE0021"/>
    <w:rsid w:val="00EE5E09"/>
    <w:rsid w:val="00EF0B6E"/>
    <w:rsid w:val="00EF2B82"/>
    <w:rsid w:val="00EF3BA6"/>
    <w:rsid w:val="00EF414B"/>
    <w:rsid w:val="00F066FA"/>
    <w:rsid w:val="00F0707D"/>
    <w:rsid w:val="00F14FE6"/>
    <w:rsid w:val="00F215C2"/>
    <w:rsid w:val="00F32CE4"/>
    <w:rsid w:val="00F3320E"/>
    <w:rsid w:val="00F409E6"/>
    <w:rsid w:val="00F43DB3"/>
    <w:rsid w:val="00F54415"/>
    <w:rsid w:val="00F6322B"/>
    <w:rsid w:val="00F75979"/>
    <w:rsid w:val="00F81A28"/>
    <w:rsid w:val="00F84B23"/>
    <w:rsid w:val="00F866F0"/>
    <w:rsid w:val="00F878FB"/>
    <w:rsid w:val="00F90F63"/>
    <w:rsid w:val="00F95DA3"/>
    <w:rsid w:val="00FA65B1"/>
    <w:rsid w:val="00FB28AA"/>
    <w:rsid w:val="00FC5FA7"/>
    <w:rsid w:val="00FC71E5"/>
    <w:rsid w:val="00FD0CDD"/>
    <w:rsid w:val="00FD0E6C"/>
    <w:rsid w:val="00FD1575"/>
    <w:rsid w:val="00FD187D"/>
    <w:rsid w:val="00FD41DA"/>
    <w:rsid w:val="00FE7F54"/>
    <w:rsid w:val="00FF0E12"/>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BB3C04"/>
  <w15:docId w15:val="{231103B8-375E-4B6D-9B97-D28669EB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EC9"/>
    <w:rPr>
      <w:sz w:val="24"/>
    </w:rPr>
  </w:style>
  <w:style w:type="paragraph" w:styleId="Heading1">
    <w:name w:val="heading 1"/>
    <w:aliases w:val="Part"/>
    <w:basedOn w:val="Normal"/>
    <w:next w:val="Heading2"/>
    <w:qFormat/>
    <w:rsid w:val="003B0EC9"/>
    <w:pPr>
      <w:spacing w:after="240"/>
      <w:jc w:val="center"/>
      <w:outlineLvl w:val="0"/>
    </w:pPr>
    <w:rPr>
      <w:rFonts w:ascii="Arial" w:hAnsi="Arial"/>
      <w:b/>
      <w:sz w:val="32"/>
    </w:rPr>
  </w:style>
  <w:style w:type="paragraph" w:styleId="Heading2">
    <w:name w:val="heading 2"/>
    <w:aliases w:val="Chapter Title"/>
    <w:basedOn w:val="Normal"/>
    <w:next w:val="Heading4"/>
    <w:qFormat/>
    <w:rsid w:val="003B0EC9"/>
    <w:pPr>
      <w:spacing w:after="240"/>
      <w:jc w:val="center"/>
      <w:outlineLvl w:val="1"/>
    </w:pPr>
    <w:rPr>
      <w:rFonts w:ascii="Arial" w:hAnsi="Arial"/>
      <w:b/>
      <w:sz w:val="32"/>
    </w:rPr>
  </w:style>
  <w:style w:type="paragraph" w:styleId="Heading3">
    <w:name w:val="heading 3"/>
    <w:aliases w:val="Section"/>
    <w:basedOn w:val="Normal"/>
    <w:next w:val="Heading4"/>
    <w:qFormat/>
    <w:rsid w:val="003B0EC9"/>
    <w:pPr>
      <w:spacing w:after="240"/>
      <w:jc w:val="center"/>
      <w:outlineLvl w:val="2"/>
    </w:pPr>
    <w:rPr>
      <w:rFonts w:ascii="Arial" w:hAnsi="Arial"/>
      <w:b/>
      <w:sz w:val="32"/>
    </w:rPr>
  </w:style>
  <w:style w:type="paragraph" w:styleId="Heading4">
    <w:name w:val="heading 4"/>
    <w:aliases w:val="Map Title"/>
    <w:basedOn w:val="Normal"/>
    <w:next w:val="Normal"/>
    <w:qFormat/>
    <w:rsid w:val="003B0EC9"/>
    <w:pPr>
      <w:spacing w:after="240"/>
      <w:outlineLvl w:val="3"/>
    </w:pPr>
    <w:rPr>
      <w:rFonts w:ascii="Arial" w:hAnsi="Arial"/>
    </w:rPr>
  </w:style>
  <w:style w:type="paragraph" w:styleId="Heading5">
    <w:name w:val="heading 5"/>
    <w:aliases w:val="Block Label"/>
    <w:basedOn w:val="Normal"/>
    <w:next w:val="Normal"/>
    <w:qFormat/>
    <w:rsid w:val="003B0EC9"/>
    <w:pPr>
      <w:outlineLvl w:val="4"/>
    </w:pPr>
    <w:rPr>
      <w:b/>
      <w:sz w:val="22"/>
    </w:rPr>
  </w:style>
  <w:style w:type="paragraph" w:styleId="Heading6">
    <w:name w:val="heading 6"/>
    <w:basedOn w:val="Normal"/>
    <w:next w:val="Normal"/>
    <w:qFormat/>
    <w:rsid w:val="003B0EC9"/>
    <w:pPr>
      <w:spacing w:before="240" w:after="60"/>
      <w:outlineLvl w:val="5"/>
    </w:pPr>
    <w:rPr>
      <w:i/>
      <w:sz w:val="22"/>
    </w:rPr>
  </w:style>
  <w:style w:type="paragraph" w:styleId="Heading7">
    <w:name w:val="heading 7"/>
    <w:basedOn w:val="Normal"/>
    <w:next w:val="Normal"/>
    <w:qFormat/>
    <w:rsid w:val="003B0EC9"/>
    <w:pPr>
      <w:spacing w:before="240" w:after="60"/>
      <w:outlineLvl w:val="6"/>
    </w:pPr>
    <w:rPr>
      <w:rFonts w:ascii="Arial" w:hAnsi="Arial"/>
      <w:sz w:val="20"/>
    </w:rPr>
  </w:style>
  <w:style w:type="paragraph" w:styleId="Heading8">
    <w:name w:val="heading 8"/>
    <w:basedOn w:val="Normal"/>
    <w:next w:val="Normal"/>
    <w:qFormat/>
    <w:rsid w:val="003B0EC9"/>
    <w:pPr>
      <w:spacing w:before="240" w:after="60"/>
      <w:outlineLvl w:val="7"/>
    </w:pPr>
    <w:rPr>
      <w:rFonts w:ascii="Arial" w:hAnsi="Arial"/>
      <w:i/>
      <w:sz w:val="20"/>
    </w:rPr>
  </w:style>
  <w:style w:type="paragraph" w:styleId="Heading9">
    <w:name w:val="heading 9"/>
    <w:basedOn w:val="Normal"/>
    <w:next w:val="Normal"/>
    <w:qFormat/>
    <w:rsid w:val="003B0EC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0EC9"/>
    <w:pPr>
      <w:tabs>
        <w:tab w:val="center" w:pos="4320"/>
        <w:tab w:val="right" w:pos="8640"/>
      </w:tabs>
    </w:pPr>
  </w:style>
  <w:style w:type="paragraph" w:styleId="MacroText">
    <w:name w:val="macro"/>
    <w:semiHidden/>
    <w:rsid w:val="003B0E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3B0EC9"/>
    <w:pPr>
      <w:pBdr>
        <w:top w:val="single" w:sz="6" w:space="1" w:color="auto"/>
        <w:between w:val="single" w:sz="6" w:space="1" w:color="auto"/>
      </w:pBdr>
      <w:spacing w:before="240"/>
      <w:ind w:left="1700"/>
    </w:pPr>
  </w:style>
  <w:style w:type="paragraph" w:styleId="BlockText">
    <w:name w:val="Block Text"/>
    <w:basedOn w:val="Normal"/>
    <w:rsid w:val="003B0EC9"/>
  </w:style>
  <w:style w:type="paragraph" w:customStyle="1" w:styleId="BulletText1">
    <w:name w:val="Bullet Text 1"/>
    <w:basedOn w:val="Normal"/>
    <w:rsid w:val="003B0EC9"/>
    <w:pPr>
      <w:ind w:left="187" w:hanging="187"/>
    </w:pPr>
  </w:style>
  <w:style w:type="paragraph" w:customStyle="1" w:styleId="BulletText2">
    <w:name w:val="Bullet Text 2"/>
    <w:basedOn w:val="BulletText1"/>
    <w:rsid w:val="003B0EC9"/>
    <w:pPr>
      <w:ind w:left="360"/>
    </w:pPr>
  </w:style>
  <w:style w:type="paragraph" w:customStyle="1" w:styleId="ContinuedOnNextPa">
    <w:name w:val="Continued On Next Pa"/>
    <w:basedOn w:val="Normal"/>
    <w:next w:val="Normal"/>
    <w:rsid w:val="003B0EC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3B0EC9"/>
    <w:rPr>
      <w:b/>
      <w:sz w:val="22"/>
    </w:rPr>
  </w:style>
  <w:style w:type="paragraph" w:customStyle="1" w:styleId="MapTitleContinued">
    <w:name w:val="Map Title. Continued"/>
    <w:basedOn w:val="Normal"/>
    <w:rsid w:val="003B0EC9"/>
    <w:pPr>
      <w:spacing w:after="240"/>
    </w:pPr>
    <w:rPr>
      <w:rFonts w:ascii="Helvetica" w:hAnsi="Helvetica"/>
      <w:b/>
      <w:sz w:val="32"/>
    </w:rPr>
  </w:style>
  <w:style w:type="paragraph" w:customStyle="1" w:styleId="MemoLine">
    <w:name w:val="Memo Line"/>
    <w:basedOn w:val="BlockLine"/>
    <w:next w:val="Normal"/>
    <w:rsid w:val="003B0EC9"/>
    <w:pPr>
      <w:ind w:left="0"/>
    </w:pPr>
  </w:style>
  <w:style w:type="paragraph" w:styleId="Footer">
    <w:name w:val="footer"/>
    <w:basedOn w:val="Normal"/>
    <w:rsid w:val="003B0EC9"/>
    <w:pPr>
      <w:tabs>
        <w:tab w:val="center" w:pos="4320"/>
        <w:tab w:val="right" w:pos="8640"/>
      </w:tabs>
    </w:pPr>
  </w:style>
  <w:style w:type="character" w:styleId="PageNumber">
    <w:name w:val="page number"/>
    <w:basedOn w:val="DefaultParagraphFont"/>
    <w:rsid w:val="003B0EC9"/>
  </w:style>
  <w:style w:type="paragraph" w:customStyle="1" w:styleId="TableText">
    <w:name w:val="Table Text"/>
    <w:basedOn w:val="Normal"/>
    <w:rsid w:val="003B0EC9"/>
  </w:style>
  <w:style w:type="paragraph" w:customStyle="1" w:styleId="NoteText">
    <w:name w:val="Note Text"/>
    <w:basedOn w:val="BlockText"/>
    <w:rsid w:val="003B0EC9"/>
  </w:style>
  <w:style w:type="paragraph" w:customStyle="1" w:styleId="TableHeaderText">
    <w:name w:val="Table Header Text"/>
    <w:basedOn w:val="TableText"/>
    <w:rsid w:val="003B0EC9"/>
    <w:pPr>
      <w:jc w:val="center"/>
    </w:pPr>
    <w:rPr>
      <w:b/>
    </w:rPr>
  </w:style>
  <w:style w:type="paragraph" w:customStyle="1" w:styleId="EmbeddedText">
    <w:name w:val="Embedded Text"/>
    <w:basedOn w:val="TableText"/>
    <w:rsid w:val="003B0EC9"/>
  </w:style>
  <w:style w:type="paragraph" w:styleId="TOC1">
    <w:name w:val="toc 1"/>
    <w:basedOn w:val="Normal"/>
    <w:next w:val="Normal"/>
    <w:semiHidden/>
    <w:rsid w:val="003B0EC9"/>
    <w:pPr>
      <w:tabs>
        <w:tab w:val="right" w:leader="dot" w:pos="10800"/>
      </w:tabs>
    </w:pPr>
  </w:style>
  <w:style w:type="paragraph" w:styleId="TOC2">
    <w:name w:val="toc 2"/>
    <w:basedOn w:val="Normal"/>
    <w:next w:val="Normal"/>
    <w:semiHidden/>
    <w:rsid w:val="003B0EC9"/>
    <w:pPr>
      <w:tabs>
        <w:tab w:val="right" w:leader="dot" w:pos="10800"/>
      </w:tabs>
      <w:ind w:left="240"/>
    </w:pPr>
  </w:style>
  <w:style w:type="paragraph" w:styleId="BodyText3">
    <w:name w:val="Body Text 3"/>
    <w:basedOn w:val="Normal"/>
    <w:rsid w:val="003B0EC9"/>
    <w:rPr>
      <w:b/>
      <w:sz w:val="18"/>
    </w:rPr>
  </w:style>
  <w:style w:type="paragraph" w:styleId="BodyText2">
    <w:name w:val="Body Text 2"/>
    <w:basedOn w:val="Normal"/>
    <w:rsid w:val="003B0EC9"/>
    <w:rPr>
      <w:b/>
      <w:sz w:val="16"/>
    </w:rPr>
  </w:style>
  <w:style w:type="paragraph" w:styleId="Title">
    <w:name w:val="Title"/>
    <w:basedOn w:val="Normal"/>
    <w:qFormat/>
    <w:rsid w:val="003B0EC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3B0EC9"/>
    <w:rPr>
      <w:color w:val="0000FF"/>
      <w:u w:val="single"/>
    </w:rPr>
  </w:style>
  <w:style w:type="paragraph" w:customStyle="1" w:styleId="Extmemo">
    <w:name w:val="Extmemo"/>
    <w:basedOn w:val="Normal"/>
    <w:rsid w:val="003B0EC9"/>
    <w:pPr>
      <w:spacing w:line="240" w:lineRule="exact"/>
    </w:pPr>
    <w:rPr>
      <w:rFonts w:ascii="Times" w:hAnsi="Times"/>
    </w:rPr>
  </w:style>
  <w:style w:type="paragraph" w:styleId="PlainText">
    <w:name w:val="Plain Text"/>
    <w:basedOn w:val="Normal"/>
    <w:rsid w:val="003B0EC9"/>
    <w:rPr>
      <w:rFonts w:ascii="Courier New" w:hAnsi="Courier New"/>
      <w:sz w:val="20"/>
    </w:rPr>
  </w:style>
  <w:style w:type="character" w:styleId="FollowedHyperlink">
    <w:name w:val="FollowedHyperlink"/>
    <w:basedOn w:val="DefaultParagraphFont"/>
    <w:rsid w:val="003B0EC9"/>
    <w:rPr>
      <w:color w:val="800080"/>
      <w:u w:val="single"/>
    </w:rPr>
  </w:style>
  <w:style w:type="paragraph" w:styleId="DocumentMap">
    <w:name w:val="Document Map"/>
    <w:basedOn w:val="Normal"/>
    <w:semiHidden/>
    <w:rsid w:val="003B0EC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uiPriority w:val="59"/>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character" w:styleId="Emphasis">
    <w:name w:val="Emphasis"/>
    <w:basedOn w:val="DefaultParagraphFont"/>
    <w:qFormat/>
    <w:rsid w:val="00CB0FD2"/>
    <w:rPr>
      <w:i/>
      <w:iCs/>
    </w:rPr>
  </w:style>
  <w:style w:type="paragraph" w:customStyle="1" w:styleId="Default">
    <w:name w:val="Default"/>
    <w:rsid w:val="00AC238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C2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8092">
      <w:bodyDiv w:val="1"/>
      <w:marLeft w:val="0"/>
      <w:marRight w:val="0"/>
      <w:marTop w:val="0"/>
      <w:marBottom w:val="0"/>
      <w:divBdr>
        <w:top w:val="none" w:sz="0" w:space="0" w:color="auto"/>
        <w:left w:val="none" w:sz="0" w:space="0" w:color="auto"/>
        <w:bottom w:val="none" w:sz="0" w:space="0" w:color="auto"/>
        <w:right w:val="none" w:sz="0" w:space="0" w:color="auto"/>
      </w:divBdr>
    </w:div>
    <w:div w:id="227307614">
      <w:bodyDiv w:val="1"/>
      <w:marLeft w:val="0"/>
      <w:marRight w:val="0"/>
      <w:marTop w:val="0"/>
      <w:marBottom w:val="0"/>
      <w:divBdr>
        <w:top w:val="none" w:sz="0" w:space="0" w:color="auto"/>
        <w:left w:val="none" w:sz="0" w:space="0" w:color="auto"/>
        <w:bottom w:val="none" w:sz="0" w:space="0" w:color="auto"/>
        <w:right w:val="none" w:sz="0" w:space="0" w:color="auto"/>
      </w:divBdr>
      <w:divsChild>
        <w:div w:id="1207138949">
          <w:marLeft w:val="0"/>
          <w:marRight w:val="0"/>
          <w:marTop w:val="0"/>
          <w:marBottom w:val="0"/>
          <w:divBdr>
            <w:top w:val="none" w:sz="0" w:space="0" w:color="auto"/>
            <w:left w:val="none" w:sz="0" w:space="0" w:color="auto"/>
            <w:bottom w:val="none" w:sz="0" w:space="0" w:color="auto"/>
            <w:right w:val="none" w:sz="0" w:space="0" w:color="auto"/>
          </w:divBdr>
        </w:div>
      </w:divsChild>
    </w:div>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36876093">
      <w:bodyDiv w:val="1"/>
      <w:marLeft w:val="0"/>
      <w:marRight w:val="0"/>
      <w:marTop w:val="0"/>
      <w:marBottom w:val="0"/>
      <w:divBdr>
        <w:top w:val="none" w:sz="0" w:space="0" w:color="auto"/>
        <w:left w:val="none" w:sz="0" w:space="0" w:color="auto"/>
        <w:bottom w:val="none" w:sz="0" w:space="0" w:color="auto"/>
        <w:right w:val="none" w:sz="0" w:space="0" w:color="auto"/>
      </w:divBdr>
    </w:div>
    <w:div w:id="749891680">
      <w:bodyDiv w:val="1"/>
      <w:marLeft w:val="0"/>
      <w:marRight w:val="0"/>
      <w:marTop w:val="0"/>
      <w:marBottom w:val="0"/>
      <w:divBdr>
        <w:top w:val="none" w:sz="0" w:space="0" w:color="auto"/>
        <w:left w:val="none" w:sz="0" w:space="0" w:color="auto"/>
        <w:bottom w:val="none" w:sz="0" w:space="0" w:color="auto"/>
        <w:right w:val="none" w:sz="0" w:space="0" w:color="auto"/>
      </w:divBdr>
      <w:divsChild>
        <w:div w:id="1570308575">
          <w:marLeft w:val="0"/>
          <w:marRight w:val="0"/>
          <w:marTop w:val="0"/>
          <w:marBottom w:val="0"/>
          <w:divBdr>
            <w:top w:val="none" w:sz="0" w:space="0" w:color="auto"/>
            <w:left w:val="none" w:sz="0" w:space="0" w:color="auto"/>
            <w:bottom w:val="none" w:sz="0" w:space="0" w:color="auto"/>
            <w:right w:val="none" w:sz="0" w:space="0" w:color="auto"/>
          </w:divBdr>
        </w:div>
        <w:div w:id="1614248261">
          <w:marLeft w:val="0"/>
          <w:marRight w:val="0"/>
          <w:marTop w:val="0"/>
          <w:marBottom w:val="0"/>
          <w:divBdr>
            <w:top w:val="none" w:sz="0" w:space="0" w:color="auto"/>
            <w:left w:val="none" w:sz="0" w:space="0" w:color="auto"/>
            <w:bottom w:val="none" w:sz="0" w:space="0" w:color="auto"/>
            <w:right w:val="none" w:sz="0" w:space="0" w:color="auto"/>
          </w:divBdr>
        </w:div>
        <w:div w:id="128474243">
          <w:marLeft w:val="0"/>
          <w:marRight w:val="0"/>
          <w:marTop w:val="0"/>
          <w:marBottom w:val="0"/>
          <w:divBdr>
            <w:top w:val="none" w:sz="0" w:space="0" w:color="auto"/>
            <w:left w:val="none" w:sz="0" w:space="0" w:color="auto"/>
            <w:bottom w:val="none" w:sz="0" w:space="0" w:color="auto"/>
            <w:right w:val="none" w:sz="0" w:space="0" w:color="auto"/>
          </w:divBdr>
        </w:div>
        <w:div w:id="616107545">
          <w:marLeft w:val="0"/>
          <w:marRight w:val="0"/>
          <w:marTop w:val="0"/>
          <w:marBottom w:val="0"/>
          <w:divBdr>
            <w:top w:val="none" w:sz="0" w:space="0" w:color="auto"/>
            <w:left w:val="none" w:sz="0" w:space="0" w:color="auto"/>
            <w:bottom w:val="none" w:sz="0" w:space="0" w:color="auto"/>
            <w:right w:val="none" w:sz="0" w:space="0" w:color="auto"/>
          </w:divBdr>
        </w:div>
        <w:div w:id="1532916539">
          <w:marLeft w:val="0"/>
          <w:marRight w:val="0"/>
          <w:marTop w:val="0"/>
          <w:marBottom w:val="0"/>
          <w:divBdr>
            <w:top w:val="none" w:sz="0" w:space="0" w:color="auto"/>
            <w:left w:val="none" w:sz="0" w:space="0" w:color="auto"/>
            <w:bottom w:val="none" w:sz="0" w:space="0" w:color="auto"/>
            <w:right w:val="none" w:sz="0" w:space="0" w:color="auto"/>
          </w:divBdr>
        </w:div>
        <w:div w:id="1500461466">
          <w:marLeft w:val="0"/>
          <w:marRight w:val="0"/>
          <w:marTop w:val="0"/>
          <w:marBottom w:val="0"/>
          <w:divBdr>
            <w:top w:val="none" w:sz="0" w:space="0" w:color="auto"/>
            <w:left w:val="none" w:sz="0" w:space="0" w:color="auto"/>
            <w:bottom w:val="none" w:sz="0" w:space="0" w:color="auto"/>
            <w:right w:val="none" w:sz="0" w:space="0" w:color="auto"/>
          </w:divBdr>
        </w:div>
        <w:div w:id="1553618062">
          <w:marLeft w:val="0"/>
          <w:marRight w:val="0"/>
          <w:marTop w:val="0"/>
          <w:marBottom w:val="0"/>
          <w:divBdr>
            <w:top w:val="none" w:sz="0" w:space="0" w:color="auto"/>
            <w:left w:val="none" w:sz="0" w:space="0" w:color="auto"/>
            <w:bottom w:val="none" w:sz="0" w:space="0" w:color="auto"/>
            <w:right w:val="none" w:sz="0" w:space="0" w:color="auto"/>
          </w:divBdr>
        </w:div>
        <w:div w:id="1694527078">
          <w:marLeft w:val="0"/>
          <w:marRight w:val="0"/>
          <w:marTop w:val="0"/>
          <w:marBottom w:val="0"/>
          <w:divBdr>
            <w:top w:val="none" w:sz="0" w:space="0" w:color="auto"/>
            <w:left w:val="none" w:sz="0" w:space="0" w:color="auto"/>
            <w:bottom w:val="none" w:sz="0" w:space="0" w:color="auto"/>
            <w:right w:val="none" w:sz="0" w:space="0" w:color="auto"/>
          </w:divBdr>
        </w:div>
        <w:div w:id="1920018316">
          <w:marLeft w:val="0"/>
          <w:marRight w:val="0"/>
          <w:marTop w:val="0"/>
          <w:marBottom w:val="0"/>
          <w:divBdr>
            <w:top w:val="none" w:sz="0" w:space="0" w:color="auto"/>
            <w:left w:val="none" w:sz="0" w:space="0" w:color="auto"/>
            <w:bottom w:val="none" w:sz="0" w:space="0" w:color="auto"/>
            <w:right w:val="none" w:sz="0" w:space="0" w:color="auto"/>
          </w:divBdr>
        </w:div>
      </w:divsChild>
    </w:div>
    <w:div w:id="855457422">
      <w:bodyDiv w:val="1"/>
      <w:marLeft w:val="0"/>
      <w:marRight w:val="0"/>
      <w:marTop w:val="0"/>
      <w:marBottom w:val="0"/>
      <w:divBdr>
        <w:top w:val="none" w:sz="0" w:space="0" w:color="auto"/>
        <w:left w:val="none" w:sz="0" w:space="0" w:color="auto"/>
        <w:bottom w:val="none" w:sz="0" w:space="0" w:color="auto"/>
        <w:right w:val="none" w:sz="0" w:space="0" w:color="auto"/>
      </w:divBdr>
      <w:divsChild>
        <w:div w:id="720590536">
          <w:marLeft w:val="0"/>
          <w:marRight w:val="0"/>
          <w:marTop w:val="0"/>
          <w:marBottom w:val="0"/>
          <w:divBdr>
            <w:top w:val="none" w:sz="0" w:space="0" w:color="auto"/>
            <w:left w:val="none" w:sz="0" w:space="0" w:color="auto"/>
            <w:bottom w:val="none" w:sz="0" w:space="0" w:color="auto"/>
            <w:right w:val="none" w:sz="0" w:space="0" w:color="auto"/>
          </w:divBdr>
        </w:div>
        <w:div w:id="1502772007">
          <w:marLeft w:val="0"/>
          <w:marRight w:val="0"/>
          <w:marTop w:val="0"/>
          <w:marBottom w:val="0"/>
          <w:divBdr>
            <w:top w:val="none" w:sz="0" w:space="0" w:color="auto"/>
            <w:left w:val="none" w:sz="0" w:space="0" w:color="auto"/>
            <w:bottom w:val="none" w:sz="0" w:space="0" w:color="auto"/>
            <w:right w:val="none" w:sz="0" w:space="0" w:color="auto"/>
          </w:divBdr>
        </w:div>
        <w:div w:id="761880286">
          <w:marLeft w:val="0"/>
          <w:marRight w:val="0"/>
          <w:marTop w:val="0"/>
          <w:marBottom w:val="0"/>
          <w:divBdr>
            <w:top w:val="none" w:sz="0" w:space="0" w:color="auto"/>
            <w:left w:val="none" w:sz="0" w:space="0" w:color="auto"/>
            <w:bottom w:val="none" w:sz="0" w:space="0" w:color="auto"/>
            <w:right w:val="none" w:sz="0" w:space="0" w:color="auto"/>
          </w:divBdr>
        </w:div>
        <w:div w:id="280184020">
          <w:marLeft w:val="0"/>
          <w:marRight w:val="0"/>
          <w:marTop w:val="0"/>
          <w:marBottom w:val="0"/>
          <w:divBdr>
            <w:top w:val="none" w:sz="0" w:space="0" w:color="auto"/>
            <w:left w:val="none" w:sz="0" w:space="0" w:color="auto"/>
            <w:bottom w:val="none" w:sz="0" w:space="0" w:color="auto"/>
            <w:right w:val="none" w:sz="0" w:space="0" w:color="auto"/>
          </w:divBdr>
        </w:div>
        <w:div w:id="195968845">
          <w:marLeft w:val="0"/>
          <w:marRight w:val="0"/>
          <w:marTop w:val="0"/>
          <w:marBottom w:val="0"/>
          <w:divBdr>
            <w:top w:val="none" w:sz="0" w:space="0" w:color="auto"/>
            <w:left w:val="none" w:sz="0" w:space="0" w:color="auto"/>
            <w:bottom w:val="none" w:sz="0" w:space="0" w:color="auto"/>
            <w:right w:val="none" w:sz="0" w:space="0" w:color="auto"/>
          </w:divBdr>
        </w:div>
        <w:div w:id="223565450">
          <w:marLeft w:val="0"/>
          <w:marRight w:val="0"/>
          <w:marTop w:val="0"/>
          <w:marBottom w:val="0"/>
          <w:divBdr>
            <w:top w:val="none" w:sz="0" w:space="0" w:color="auto"/>
            <w:left w:val="none" w:sz="0" w:space="0" w:color="auto"/>
            <w:bottom w:val="none" w:sz="0" w:space="0" w:color="auto"/>
            <w:right w:val="none" w:sz="0" w:space="0" w:color="auto"/>
          </w:divBdr>
        </w:div>
        <w:div w:id="112329143">
          <w:marLeft w:val="0"/>
          <w:marRight w:val="0"/>
          <w:marTop w:val="0"/>
          <w:marBottom w:val="0"/>
          <w:divBdr>
            <w:top w:val="none" w:sz="0" w:space="0" w:color="auto"/>
            <w:left w:val="none" w:sz="0" w:space="0" w:color="auto"/>
            <w:bottom w:val="none" w:sz="0" w:space="0" w:color="auto"/>
            <w:right w:val="none" w:sz="0" w:space="0" w:color="auto"/>
          </w:divBdr>
        </w:div>
        <w:div w:id="1652715863">
          <w:marLeft w:val="0"/>
          <w:marRight w:val="0"/>
          <w:marTop w:val="0"/>
          <w:marBottom w:val="0"/>
          <w:divBdr>
            <w:top w:val="none" w:sz="0" w:space="0" w:color="auto"/>
            <w:left w:val="none" w:sz="0" w:space="0" w:color="auto"/>
            <w:bottom w:val="none" w:sz="0" w:space="0" w:color="auto"/>
            <w:right w:val="none" w:sz="0" w:space="0" w:color="auto"/>
          </w:divBdr>
        </w:div>
        <w:div w:id="1236016623">
          <w:marLeft w:val="0"/>
          <w:marRight w:val="0"/>
          <w:marTop w:val="0"/>
          <w:marBottom w:val="0"/>
          <w:divBdr>
            <w:top w:val="none" w:sz="0" w:space="0" w:color="auto"/>
            <w:left w:val="none" w:sz="0" w:space="0" w:color="auto"/>
            <w:bottom w:val="none" w:sz="0" w:space="0" w:color="auto"/>
            <w:right w:val="none" w:sz="0" w:space="0" w:color="auto"/>
          </w:divBdr>
        </w:div>
        <w:div w:id="1929579038">
          <w:marLeft w:val="0"/>
          <w:marRight w:val="0"/>
          <w:marTop w:val="0"/>
          <w:marBottom w:val="0"/>
          <w:divBdr>
            <w:top w:val="none" w:sz="0" w:space="0" w:color="auto"/>
            <w:left w:val="none" w:sz="0" w:space="0" w:color="auto"/>
            <w:bottom w:val="none" w:sz="0" w:space="0" w:color="auto"/>
            <w:right w:val="none" w:sz="0" w:space="0" w:color="auto"/>
          </w:divBdr>
        </w:div>
        <w:div w:id="944078116">
          <w:marLeft w:val="0"/>
          <w:marRight w:val="0"/>
          <w:marTop w:val="0"/>
          <w:marBottom w:val="0"/>
          <w:divBdr>
            <w:top w:val="none" w:sz="0" w:space="0" w:color="auto"/>
            <w:left w:val="none" w:sz="0" w:space="0" w:color="auto"/>
            <w:bottom w:val="none" w:sz="0" w:space="0" w:color="auto"/>
            <w:right w:val="none" w:sz="0" w:space="0" w:color="auto"/>
          </w:divBdr>
        </w:div>
        <w:div w:id="1895576169">
          <w:marLeft w:val="0"/>
          <w:marRight w:val="0"/>
          <w:marTop w:val="0"/>
          <w:marBottom w:val="0"/>
          <w:divBdr>
            <w:top w:val="none" w:sz="0" w:space="0" w:color="auto"/>
            <w:left w:val="none" w:sz="0" w:space="0" w:color="auto"/>
            <w:bottom w:val="none" w:sz="0" w:space="0" w:color="auto"/>
            <w:right w:val="none" w:sz="0" w:space="0" w:color="auto"/>
          </w:divBdr>
        </w:div>
        <w:div w:id="2022927696">
          <w:marLeft w:val="0"/>
          <w:marRight w:val="0"/>
          <w:marTop w:val="0"/>
          <w:marBottom w:val="0"/>
          <w:divBdr>
            <w:top w:val="none" w:sz="0" w:space="0" w:color="auto"/>
            <w:left w:val="none" w:sz="0" w:space="0" w:color="auto"/>
            <w:bottom w:val="none" w:sz="0" w:space="0" w:color="auto"/>
            <w:right w:val="none" w:sz="0" w:space="0" w:color="auto"/>
          </w:divBdr>
        </w:div>
        <w:div w:id="1046833015">
          <w:marLeft w:val="0"/>
          <w:marRight w:val="0"/>
          <w:marTop w:val="0"/>
          <w:marBottom w:val="0"/>
          <w:divBdr>
            <w:top w:val="none" w:sz="0" w:space="0" w:color="auto"/>
            <w:left w:val="none" w:sz="0" w:space="0" w:color="auto"/>
            <w:bottom w:val="none" w:sz="0" w:space="0" w:color="auto"/>
            <w:right w:val="none" w:sz="0" w:space="0" w:color="auto"/>
          </w:divBdr>
        </w:div>
        <w:div w:id="1609849800">
          <w:marLeft w:val="0"/>
          <w:marRight w:val="0"/>
          <w:marTop w:val="0"/>
          <w:marBottom w:val="0"/>
          <w:divBdr>
            <w:top w:val="none" w:sz="0" w:space="0" w:color="auto"/>
            <w:left w:val="none" w:sz="0" w:space="0" w:color="auto"/>
            <w:bottom w:val="none" w:sz="0" w:space="0" w:color="auto"/>
            <w:right w:val="none" w:sz="0" w:space="0" w:color="auto"/>
          </w:divBdr>
        </w:div>
        <w:div w:id="530068038">
          <w:marLeft w:val="0"/>
          <w:marRight w:val="0"/>
          <w:marTop w:val="0"/>
          <w:marBottom w:val="0"/>
          <w:divBdr>
            <w:top w:val="none" w:sz="0" w:space="0" w:color="auto"/>
            <w:left w:val="none" w:sz="0" w:space="0" w:color="auto"/>
            <w:bottom w:val="none" w:sz="0" w:space="0" w:color="auto"/>
            <w:right w:val="none" w:sz="0" w:space="0" w:color="auto"/>
          </w:divBdr>
        </w:div>
        <w:div w:id="1128862225">
          <w:marLeft w:val="0"/>
          <w:marRight w:val="0"/>
          <w:marTop w:val="0"/>
          <w:marBottom w:val="0"/>
          <w:divBdr>
            <w:top w:val="none" w:sz="0" w:space="0" w:color="auto"/>
            <w:left w:val="none" w:sz="0" w:space="0" w:color="auto"/>
            <w:bottom w:val="none" w:sz="0" w:space="0" w:color="auto"/>
            <w:right w:val="none" w:sz="0" w:space="0" w:color="auto"/>
          </w:divBdr>
        </w:div>
      </w:divsChild>
    </w:div>
    <w:div w:id="1410036523">
      <w:bodyDiv w:val="1"/>
      <w:marLeft w:val="750"/>
      <w:marRight w:val="0"/>
      <w:marTop w:val="300"/>
      <w:marBottom w:val="0"/>
      <w:divBdr>
        <w:top w:val="none" w:sz="0" w:space="0" w:color="auto"/>
        <w:left w:val="none" w:sz="0" w:space="0" w:color="auto"/>
        <w:bottom w:val="none" w:sz="0" w:space="0" w:color="auto"/>
        <w:right w:val="none" w:sz="0" w:space="0" w:color="auto"/>
      </w:divBdr>
    </w:div>
    <w:div w:id="1525250289">
      <w:bodyDiv w:val="1"/>
      <w:marLeft w:val="0"/>
      <w:marRight w:val="0"/>
      <w:marTop w:val="0"/>
      <w:marBottom w:val="0"/>
      <w:divBdr>
        <w:top w:val="none" w:sz="0" w:space="0" w:color="auto"/>
        <w:left w:val="none" w:sz="0" w:space="0" w:color="auto"/>
        <w:bottom w:val="none" w:sz="0" w:space="0" w:color="auto"/>
        <w:right w:val="none" w:sz="0" w:space="0" w:color="auto"/>
      </w:divBdr>
      <w:divsChild>
        <w:div w:id="2086030145">
          <w:marLeft w:val="0"/>
          <w:marRight w:val="0"/>
          <w:marTop w:val="0"/>
          <w:marBottom w:val="0"/>
          <w:divBdr>
            <w:top w:val="none" w:sz="0" w:space="0" w:color="auto"/>
            <w:left w:val="none" w:sz="0" w:space="0" w:color="auto"/>
            <w:bottom w:val="none" w:sz="0" w:space="0" w:color="auto"/>
            <w:right w:val="none" w:sz="0" w:space="0" w:color="auto"/>
          </w:divBdr>
        </w:div>
        <w:div w:id="543172915">
          <w:marLeft w:val="0"/>
          <w:marRight w:val="0"/>
          <w:marTop w:val="0"/>
          <w:marBottom w:val="0"/>
          <w:divBdr>
            <w:top w:val="none" w:sz="0" w:space="0" w:color="auto"/>
            <w:left w:val="none" w:sz="0" w:space="0" w:color="auto"/>
            <w:bottom w:val="none" w:sz="0" w:space="0" w:color="auto"/>
            <w:right w:val="none" w:sz="0" w:space="0" w:color="auto"/>
          </w:divBdr>
        </w:div>
        <w:div w:id="379482703">
          <w:marLeft w:val="0"/>
          <w:marRight w:val="0"/>
          <w:marTop w:val="0"/>
          <w:marBottom w:val="0"/>
          <w:divBdr>
            <w:top w:val="none" w:sz="0" w:space="0" w:color="auto"/>
            <w:left w:val="none" w:sz="0" w:space="0" w:color="auto"/>
            <w:bottom w:val="none" w:sz="0" w:space="0" w:color="auto"/>
            <w:right w:val="none" w:sz="0" w:space="0" w:color="auto"/>
          </w:divBdr>
        </w:div>
        <w:div w:id="1923366482">
          <w:marLeft w:val="0"/>
          <w:marRight w:val="0"/>
          <w:marTop w:val="0"/>
          <w:marBottom w:val="0"/>
          <w:divBdr>
            <w:top w:val="none" w:sz="0" w:space="0" w:color="auto"/>
            <w:left w:val="none" w:sz="0" w:space="0" w:color="auto"/>
            <w:bottom w:val="none" w:sz="0" w:space="0" w:color="auto"/>
            <w:right w:val="none" w:sz="0" w:space="0" w:color="auto"/>
          </w:divBdr>
        </w:div>
      </w:divsChild>
    </w:div>
    <w:div w:id="1744647475">
      <w:bodyDiv w:val="1"/>
      <w:marLeft w:val="750"/>
      <w:marRight w:val="0"/>
      <w:marTop w:val="300"/>
      <w:marBottom w:val="0"/>
      <w:divBdr>
        <w:top w:val="none" w:sz="0" w:space="0" w:color="auto"/>
        <w:left w:val="none" w:sz="0" w:space="0" w:color="auto"/>
        <w:bottom w:val="none" w:sz="0" w:space="0" w:color="auto"/>
        <w:right w:val="none" w:sz="0" w:space="0" w:color="auto"/>
      </w:divBdr>
    </w:div>
    <w:div w:id="2053922615">
      <w:bodyDiv w:val="1"/>
      <w:marLeft w:val="0"/>
      <w:marRight w:val="0"/>
      <w:marTop w:val="0"/>
      <w:marBottom w:val="0"/>
      <w:divBdr>
        <w:top w:val="none" w:sz="0" w:space="0" w:color="auto"/>
        <w:left w:val="none" w:sz="0" w:space="0" w:color="auto"/>
        <w:bottom w:val="none" w:sz="0" w:space="0" w:color="auto"/>
        <w:right w:val="none" w:sz="0" w:space="0" w:color="auto"/>
      </w:divBdr>
      <w:divsChild>
        <w:div w:id="74327899">
          <w:marLeft w:val="0"/>
          <w:marRight w:val="0"/>
          <w:marTop w:val="0"/>
          <w:marBottom w:val="0"/>
          <w:divBdr>
            <w:top w:val="none" w:sz="0" w:space="0" w:color="auto"/>
            <w:left w:val="none" w:sz="0" w:space="0" w:color="auto"/>
            <w:bottom w:val="none" w:sz="0" w:space="0" w:color="auto"/>
            <w:right w:val="none" w:sz="0" w:space="0" w:color="auto"/>
          </w:divBdr>
        </w:div>
        <w:div w:id="1456024688">
          <w:marLeft w:val="0"/>
          <w:marRight w:val="0"/>
          <w:marTop w:val="0"/>
          <w:marBottom w:val="0"/>
          <w:divBdr>
            <w:top w:val="none" w:sz="0" w:space="0" w:color="auto"/>
            <w:left w:val="none" w:sz="0" w:space="0" w:color="auto"/>
            <w:bottom w:val="none" w:sz="0" w:space="0" w:color="auto"/>
            <w:right w:val="none" w:sz="0" w:space="0" w:color="auto"/>
          </w:divBdr>
        </w:div>
        <w:div w:id="1844277516">
          <w:marLeft w:val="0"/>
          <w:marRight w:val="0"/>
          <w:marTop w:val="0"/>
          <w:marBottom w:val="0"/>
          <w:divBdr>
            <w:top w:val="none" w:sz="0" w:space="0" w:color="auto"/>
            <w:left w:val="none" w:sz="0" w:space="0" w:color="auto"/>
            <w:bottom w:val="none" w:sz="0" w:space="0" w:color="auto"/>
            <w:right w:val="none" w:sz="0" w:space="0" w:color="auto"/>
          </w:divBdr>
          <w:divsChild>
            <w:div w:id="1783719085">
              <w:marLeft w:val="0"/>
              <w:marRight w:val="0"/>
              <w:marTop w:val="0"/>
              <w:marBottom w:val="0"/>
              <w:divBdr>
                <w:top w:val="none" w:sz="0" w:space="0" w:color="auto"/>
                <w:left w:val="none" w:sz="0" w:space="0" w:color="auto"/>
                <w:bottom w:val="none" w:sz="0" w:space="0" w:color="auto"/>
                <w:right w:val="none" w:sz="0" w:space="0" w:color="auto"/>
              </w:divBdr>
            </w:div>
            <w:div w:id="1615088906">
              <w:marLeft w:val="0"/>
              <w:marRight w:val="0"/>
              <w:marTop w:val="0"/>
              <w:marBottom w:val="0"/>
              <w:divBdr>
                <w:top w:val="none" w:sz="0" w:space="0" w:color="auto"/>
                <w:left w:val="none" w:sz="0" w:space="0" w:color="auto"/>
                <w:bottom w:val="none" w:sz="0" w:space="0" w:color="auto"/>
                <w:right w:val="none" w:sz="0" w:space="0" w:color="auto"/>
              </w:divBdr>
            </w:div>
            <w:div w:id="449667799">
              <w:marLeft w:val="0"/>
              <w:marRight w:val="0"/>
              <w:marTop w:val="0"/>
              <w:marBottom w:val="0"/>
              <w:divBdr>
                <w:top w:val="none" w:sz="0" w:space="0" w:color="auto"/>
                <w:left w:val="none" w:sz="0" w:space="0" w:color="auto"/>
                <w:bottom w:val="none" w:sz="0" w:space="0" w:color="auto"/>
                <w:right w:val="none" w:sz="0" w:space="0" w:color="auto"/>
              </w:divBdr>
              <w:divsChild>
                <w:div w:id="5410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vgov.sharepoint.com/sites/DOA_SP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y.mcgill@doa.virginia.gov" TargetMode="External"/><Relationship Id="rId12" Type="http://schemas.openxmlformats.org/officeDocument/2006/relationships/hyperlink" Target="http://www.doa.virginia.gov/forms/Payroll/SPO-SharePoint-Security-Authorization-Reques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ayroll@doa.virginia.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1348</TotalTime>
  <Pages>3</Pages>
  <Words>643</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4448</CharactersWithSpaces>
  <SharedDoc>false</SharedDoc>
  <HLinks>
    <vt:vector size="54" baseType="variant">
      <vt:variant>
        <vt:i4>4522061</vt:i4>
      </vt:variant>
      <vt:variant>
        <vt:i4>21</vt:i4>
      </vt:variant>
      <vt:variant>
        <vt:i4>0</vt:i4>
      </vt:variant>
      <vt:variant>
        <vt:i4>5</vt:i4>
      </vt:variant>
      <vt:variant>
        <vt:lpwstr>http://www.doa.virginia.gov/Payroll/Forms/Payroll_Forms_Main.cfm</vt:lpwstr>
      </vt:variant>
      <vt:variant>
        <vt:lpwstr/>
      </vt:variant>
      <vt:variant>
        <vt:i4>393230</vt:i4>
      </vt:variant>
      <vt:variant>
        <vt:i4>18</vt:i4>
      </vt:variant>
      <vt:variant>
        <vt:i4>0</vt:i4>
      </vt:variant>
      <vt:variant>
        <vt:i4>5</vt:i4>
      </vt:variant>
      <vt:variant>
        <vt:lpwstr>http://www.varetire.org/featured/Plan1-Less-Than-5-Years.asp</vt:lpwstr>
      </vt:variant>
      <vt:variant>
        <vt:lpwstr/>
      </vt:variant>
      <vt:variant>
        <vt:i4>3997768</vt:i4>
      </vt:variant>
      <vt:variant>
        <vt:i4>15</vt:i4>
      </vt:variant>
      <vt:variant>
        <vt:i4>0</vt:i4>
      </vt:variant>
      <vt:variant>
        <vt:i4>5</vt:i4>
      </vt:variant>
      <vt:variant>
        <vt:lpwstr>http://www.doa.virginia.gov/Payroll/Payroll_Certification_Calendar_2012.cfm</vt:lpwstr>
      </vt:variant>
      <vt:variant>
        <vt:lpwstr/>
      </vt:variant>
      <vt:variant>
        <vt:i4>4522061</vt:i4>
      </vt:variant>
      <vt:variant>
        <vt:i4>12</vt:i4>
      </vt:variant>
      <vt:variant>
        <vt:i4>0</vt:i4>
      </vt:variant>
      <vt:variant>
        <vt:i4>5</vt:i4>
      </vt:variant>
      <vt:variant>
        <vt:lpwstr>http://www.doa.virginia.gov/Payroll/Forms/Payroll_Forms_Main.cfm</vt:lpwstr>
      </vt:variant>
      <vt:variant>
        <vt:lpwstr/>
      </vt:variant>
      <vt:variant>
        <vt:i4>2293791</vt:i4>
      </vt:variant>
      <vt:variant>
        <vt:i4>9</vt:i4>
      </vt:variant>
      <vt:variant>
        <vt:i4>0</vt:i4>
      </vt:variant>
      <vt:variant>
        <vt:i4>5</vt:i4>
      </vt:variant>
      <vt:variant>
        <vt:lpwstr>https://vadcp.ingplans.com/einfo/pdfs/forms/virgna/650271/payroll_onetime.pdf</vt:lpwstr>
      </vt:variant>
      <vt:variant>
        <vt:lpwstr/>
      </vt:variant>
      <vt:variant>
        <vt:i4>1638423</vt:i4>
      </vt:variant>
      <vt:variant>
        <vt:i4>6</vt:i4>
      </vt:variant>
      <vt:variant>
        <vt:i4>0</vt:i4>
      </vt:variant>
      <vt:variant>
        <vt:i4>5</vt:i4>
      </vt:variant>
      <vt:variant>
        <vt:lpwstr>http://www.dhrm.virginia.gov/compensation/communication/BonusFAQsfor2012.pdf</vt:lpwstr>
      </vt:variant>
      <vt:variant>
        <vt:lpwstr/>
      </vt:variant>
      <vt:variant>
        <vt:i4>1966095</vt:i4>
      </vt:variant>
      <vt:variant>
        <vt:i4>3</vt:i4>
      </vt:variant>
      <vt:variant>
        <vt:i4>0</vt:i4>
      </vt:variant>
      <vt:variant>
        <vt:i4>5</vt:i4>
      </vt:variant>
      <vt:variant>
        <vt:lpwstr>http://www.dhrm.virginia.gov/compensation/communication/FiscalYear13AuthandCompensationActivities.pdf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McGill, Cathy (DOA)</cp:lastModifiedBy>
  <cp:revision>27</cp:revision>
  <cp:lastPrinted>2012-09-07T16:24:00Z</cp:lastPrinted>
  <dcterms:created xsi:type="dcterms:W3CDTF">2022-08-09T16:09:00Z</dcterms:created>
  <dcterms:modified xsi:type="dcterms:W3CDTF">2022-08-10T16:55:00Z</dcterms:modified>
  <cp:category>Payroll Bulletin</cp:category>
</cp:coreProperties>
</file>